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47F" w:rsidRPr="0073147F" w:rsidRDefault="0073147F" w:rsidP="0036375B">
      <w:pPr>
        <w:jc w:val="center"/>
        <w:rPr>
          <w:rFonts w:asciiTheme="minorHAnsi" w:hAnsiTheme="minorHAnsi"/>
          <w:b/>
          <w:sz w:val="44"/>
          <w:szCs w:val="44"/>
          <w:u w:val="single"/>
        </w:rPr>
      </w:pPr>
      <w:r w:rsidRPr="0073147F">
        <w:rPr>
          <w:rFonts w:asciiTheme="minorHAnsi" w:hAnsiTheme="minorHAnsi"/>
          <w:b/>
          <w:sz w:val="44"/>
          <w:szCs w:val="44"/>
          <w:u w:val="single"/>
        </w:rPr>
        <w:t>Continuing Medical Education</w:t>
      </w:r>
      <w:r>
        <w:rPr>
          <w:rFonts w:asciiTheme="minorHAnsi" w:hAnsiTheme="minorHAnsi"/>
          <w:b/>
          <w:sz w:val="44"/>
          <w:szCs w:val="44"/>
          <w:u w:val="single"/>
        </w:rPr>
        <w:t xml:space="preserve"> Information</w:t>
      </w:r>
    </w:p>
    <w:p w:rsidR="000B7D55" w:rsidRPr="000B7D55" w:rsidRDefault="000B7D55" w:rsidP="0036375B">
      <w:pPr>
        <w:jc w:val="center"/>
        <w:rPr>
          <w:rFonts w:asciiTheme="minorHAnsi" w:hAnsiTheme="minorHAnsi"/>
          <w:b/>
          <w:sz w:val="16"/>
          <w:szCs w:val="16"/>
        </w:rPr>
      </w:pPr>
    </w:p>
    <w:p w:rsidR="00E6404A" w:rsidRPr="0073147F" w:rsidRDefault="00E6404A" w:rsidP="0036375B">
      <w:pPr>
        <w:jc w:val="center"/>
        <w:rPr>
          <w:rFonts w:asciiTheme="minorHAnsi" w:hAnsiTheme="minorHAnsi"/>
          <w:b/>
          <w:sz w:val="40"/>
          <w:szCs w:val="40"/>
        </w:rPr>
      </w:pPr>
      <w:r w:rsidRPr="0073147F">
        <w:rPr>
          <w:rFonts w:asciiTheme="minorHAnsi" w:hAnsiTheme="minorHAnsi"/>
          <w:b/>
          <w:sz w:val="40"/>
          <w:szCs w:val="40"/>
        </w:rPr>
        <w:t>Free2Care Symposium</w:t>
      </w:r>
    </w:p>
    <w:p w:rsidR="00E6404A" w:rsidRDefault="00E6404A" w:rsidP="00E6404A">
      <w:pPr>
        <w:jc w:val="center"/>
        <w:rPr>
          <w:rFonts w:asciiTheme="minorHAnsi" w:hAnsiTheme="minorHAnsi"/>
          <w:b/>
          <w:sz w:val="32"/>
          <w:szCs w:val="28"/>
        </w:rPr>
      </w:pPr>
      <w:r>
        <w:rPr>
          <w:rFonts w:asciiTheme="minorHAnsi" w:hAnsiTheme="minorHAnsi"/>
          <w:b/>
          <w:sz w:val="32"/>
          <w:szCs w:val="28"/>
        </w:rPr>
        <w:t>September 15-16, 2022 – Austin, Texas</w:t>
      </w:r>
    </w:p>
    <w:p w:rsidR="00E6404A" w:rsidRPr="005944A8" w:rsidRDefault="00E6404A" w:rsidP="00E6404A">
      <w:pPr>
        <w:jc w:val="center"/>
        <w:rPr>
          <w:rFonts w:asciiTheme="minorHAnsi" w:hAnsiTheme="minorHAnsi"/>
          <w:b/>
          <w:sz w:val="20"/>
          <w:szCs w:val="20"/>
        </w:rPr>
      </w:pPr>
    </w:p>
    <w:p w:rsidR="00E6404A" w:rsidRPr="005944A8" w:rsidRDefault="00E6404A" w:rsidP="00E6404A">
      <w:pPr>
        <w:jc w:val="center"/>
        <w:rPr>
          <w:rFonts w:asciiTheme="minorHAnsi" w:hAnsiTheme="minorHAnsi"/>
          <w:b/>
          <w:i/>
          <w:sz w:val="28"/>
          <w:szCs w:val="28"/>
        </w:rPr>
      </w:pPr>
      <w:r w:rsidRPr="005944A8">
        <w:rPr>
          <w:rFonts w:asciiTheme="minorHAnsi" w:hAnsiTheme="minorHAnsi"/>
          <w:b/>
          <w:i/>
          <w:sz w:val="28"/>
          <w:szCs w:val="28"/>
        </w:rPr>
        <w:t>“</w:t>
      </w:r>
      <w:r w:rsidR="000417A8" w:rsidRPr="005944A8">
        <w:rPr>
          <w:rFonts w:asciiTheme="minorHAnsi" w:hAnsiTheme="minorHAnsi"/>
          <w:b/>
          <w:i/>
          <w:sz w:val="28"/>
          <w:szCs w:val="28"/>
        </w:rPr>
        <w:t xml:space="preserve">Transforming </w:t>
      </w:r>
      <w:r w:rsidRPr="005944A8">
        <w:rPr>
          <w:rFonts w:asciiTheme="minorHAnsi" w:hAnsiTheme="minorHAnsi"/>
          <w:b/>
          <w:i/>
          <w:sz w:val="28"/>
          <w:szCs w:val="28"/>
        </w:rPr>
        <w:t>Health</w:t>
      </w:r>
      <w:r w:rsidR="000417A8" w:rsidRPr="005944A8">
        <w:rPr>
          <w:rFonts w:asciiTheme="minorHAnsi" w:hAnsiTheme="minorHAnsi"/>
          <w:b/>
          <w:i/>
          <w:sz w:val="28"/>
          <w:szCs w:val="28"/>
        </w:rPr>
        <w:t>care Through Learnings from Specialty Medication Waste</w:t>
      </w:r>
      <w:r w:rsidRPr="005944A8">
        <w:rPr>
          <w:rFonts w:asciiTheme="minorHAnsi" w:hAnsiTheme="minorHAnsi"/>
          <w:b/>
          <w:i/>
          <w:sz w:val="28"/>
          <w:szCs w:val="28"/>
        </w:rPr>
        <w:t>”</w:t>
      </w:r>
      <w:r w:rsidR="000417A8" w:rsidRPr="005944A8">
        <w:rPr>
          <w:rFonts w:asciiTheme="minorHAnsi" w:hAnsiTheme="minorHAnsi"/>
          <w:b/>
          <w:i/>
          <w:sz w:val="28"/>
          <w:szCs w:val="28"/>
        </w:rPr>
        <w:t xml:space="preserve"> (JS2209B)</w:t>
      </w:r>
    </w:p>
    <w:p w:rsidR="00E6404A" w:rsidRPr="005944A8" w:rsidRDefault="00E6404A" w:rsidP="00E6404A">
      <w:pPr>
        <w:jc w:val="center"/>
        <w:rPr>
          <w:rFonts w:asciiTheme="minorHAnsi" w:hAnsiTheme="minorHAnsi"/>
          <w:b/>
        </w:rPr>
      </w:pPr>
      <w:r w:rsidRPr="005944A8">
        <w:rPr>
          <w:rFonts w:asciiTheme="minorHAnsi" w:hAnsiTheme="minorHAnsi"/>
          <w:b/>
        </w:rPr>
        <w:t>1 Hour Didactic Presentation</w:t>
      </w:r>
      <w:r w:rsidR="000417A8" w:rsidRPr="005944A8">
        <w:rPr>
          <w:rFonts w:asciiTheme="minorHAnsi" w:hAnsiTheme="minorHAnsi"/>
          <w:b/>
        </w:rPr>
        <w:t xml:space="preserve"> + </w:t>
      </w:r>
      <w:r w:rsidRPr="005944A8">
        <w:rPr>
          <w:rFonts w:asciiTheme="minorHAnsi" w:hAnsiTheme="minorHAnsi"/>
          <w:b/>
        </w:rPr>
        <w:t>1 Hour Literature Review and Discussion</w:t>
      </w:r>
    </w:p>
    <w:p w:rsidR="00E6404A" w:rsidRPr="005944A8" w:rsidRDefault="00E6404A" w:rsidP="00E6404A">
      <w:pPr>
        <w:jc w:val="center"/>
        <w:rPr>
          <w:rFonts w:asciiTheme="minorHAnsi" w:hAnsiTheme="minorHAnsi"/>
          <w:b/>
        </w:rPr>
      </w:pPr>
      <w:r w:rsidRPr="005944A8">
        <w:rPr>
          <w:rFonts w:asciiTheme="minorHAnsi" w:hAnsiTheme="minorHAnsi"/>
          <w:b/>
        </w:rPr>
        <w:t>Presented by Da</w:t>
      </w:r>
      <w:r w:rsidR="005944A8" w:rsidRPr="005944A8">
        <w:rPr>
          <w:rFonts w:asciiTheme="minorHAnsi" w:hAnsiTheme="minorHAnsi"/>
          <w:b/>
        </w:rPr>
        <w:t xml:space="preserve">rin T. </w:t>
      </w:r>
      <w:r w:rsidR="000417A8" w:rsidRPr="005944A8">
        <w:rPr>
          <w:rFonts w:asciiTheme="minorHAnsi" w:hAnsiTheme="minorHAnsi"/>
          <w:b/>
        </w:rPr>
        <w:t>Okuda, M.D.,</w:t>
      </w:r>
      <w:r w:rsidR="0073147F" w:rsidRPr="005944A8">
        <w:rPr>
          <w:rFonts w:asciiTheme="minorHAnsi" w:hAnsiTheme="minorHAnsi"/>
          <w:b/>
        </w:rPr>
        <w:t xml:space="preserve"> M.Sc.,</w:t>
      </w:r>
      <w:r w:rsidR="000417A8" w:rsidRPr="005944A8">
        <w:rPr>
          <w:rFonts w:asciiTheme="minorHAnsi" w:hAnsiTheme="minorHAnsi"/>
          <w:b/>
        </w:rPr>
        <w:t xml:space="preserve"> F.A.A.N., F.A.N.A.</w:t>
      </w:r>
    </w:p>
    <w:p w:rsidR="00E6404A" w:rsidRPr="005944A8" w:rsidRDefault="00E6404A" w:rsidP="00E6404A">
      <w:pPr>
        <w:jc w:val="center"/>
        <w:rPr>
          <w:rFonts w:asciiTheme="minorHAnsi" w:hAnsiTheme="minorHAnsi"/>
          <w:b/>
        </w:rPr>
      </w:pPr>
      <w:r w:rsidRPr="005944A8">
        <w:rPr>
          <w:rFonts w:asciiTheme="minorHAnsi" w:hAnsiTheme="minorHAnsi"/>
          <w:b/>
        </w:rPr>
        <w:t xml:space="preserve">Moderated by David Balat </w:t>
      </w:r>
    </w:p>
    <w:p w:rsidR="00E6404A" w:rsidRDefault="00E6404A" w:rsidP="00E6404A">
      <w:pPr>
        <w:rPr>
          <w:rFonts w:asciiTheme="minorHAnsi" w:hAnsiTheme="minorHAnsi"/>
          <w:b/>
          <w:sz w:val="32"/>
          <w:szCs w:val="28"/>
        </w:rPr>
      </w:pPr>
    </w:p>
    <w:p w:rsidR="00846BBA" w:rsidRPr="004F7F16" w:rsidRDefault="008343BB" w:rsidP="00846BBA">
      <w:pPr>
        <w:rPr>
          <w:rFonts w:asciiTheme="minorHAnsi" w:hAnsiTheme="minorHAnsi" w:cs="GillSans-Bold"/>
          <w:b/>
          <w:bCs/>
          <w:szCs w:val="20"/>
        </w:rPr>
      </w:pPr>
      <w:r w:rsidRPr="004F7F16">
        <w:rPr>
          <w:rFonts w:asciiTheme="minorHAnsi" w:hAnsiTheme="minorHAnsi" w:cs="GillSans-Bold"/>
          <w:b/>
          <w:bCs/>
          <w:szCs w:val="20"/>
        </w:rPr>
        <w:t>OVERVIEW</w:t>
      </w:r>
    </w:p>
    <w:p w:rsidR="0061540D" w:rsidRDefault="00E6404A" w:rsidP="00846BBA">
      <w:pPr>
        <w:rPr>
          <w:rFonts w:asciiTheme="minorHAnsi" w:hAnsiTheme="minorHAnsi"/>
          <w:sz w:val="20"/>
          <w:szCs w:val="20"/>
        </w:rPr>
      </w:pPr>
      <w:r w:rsidRPr="00E6404A">
        <w:rPr>
          <w:rFonts w:asciiTheme="minorHAnsi" w:hAnsiTheme="minorHAnsi"/>
          <w:sz w:val="20"/>
          <w:szCs w:val="20"/>
        </w:rPr>
        <w:t>In this one hour didactic presentation and an additional one hour of literature review and interactive discussion, attendees (physicians, PAs, APNs, nurses) will gain knowledge of the current magnitude of medication waste associated with disease modifying therapies in multiple sclerosis and be provided with awareness and strategies for reducing the economic burden of care that will help transform health care and remove barriers to proper care. This activity is part of the Free2Care Symposium equipping healthcare providers with the tools needed to be effective advocates to make health care transparent, affordable, and accessible.</w:t>
      </w:r>
    </w:p>
    <w:p w:rsidR="000417A8" w:rsidRPr="005944A8" w:rsidRDefault="000417A8" w:rsidP="00846BBA">
      <w:pPr>
        <w:rPr>
          <w:rFonts w:asciiTheme="minorHAnsi" w:hAnsiTheme="minorHAnsi"/>
          <w:sz w:val="16"/>
          <w:szCs w:val="16"/>
        </w:rPr>
      </w:pPr>
    </w:p>
    <w:p w:rsidR="000417A8" w:rsidRDefault="000417A8" w:rsidP="00846BBA">
      <w:pPr>
        <w:rPr>
          <w:rFonts w:asciiTheme="minorHAnsi" w:hAnsiTheme="minorHAnsi"/>
          <w:sz w:val="20"/>
          <w:szCs w:val="20"/>
        </w:rPr>
      </w:pPr>
      <w:r w:rsidRPr="000417A8">
        <w:rPr>
          <w:rFonts w:asciiTheme="minorHAnsi" w:hAnsiTheme="minorHAnsi"/>
          <w:sz w:val="20"/>
          <w:szCs w:val="20"/>
        </w:rPr>
        <w:t xml:space="preserve">Recognizing the challenge for patients and healthcare systems of rising costs associated with multiple sclerosis (MS) disease modifying therapies, this presentation and discussion will address: 1) the needs of advancing original platforms for the real-time collection of data that impact medication compliance and adherence; 2) Medical, non-medical, and tolerability reasons that impact continued use of a treatment; 3) strategies that aim to reduce the magnitude of waste and enhance the delivery of care; and 4) how health disparities such as race and finances impact health </w:t>
      </w:r>
      <w:r w:rsidR="0083669C" w:rsidRPr="000417A8">
        <w:rPr>
          <w:rFonts w:asciiTheme="minorHAnsi" w:hAnsiTheme="minorHAnsi"/>
          <w:sz w:val="20"/>
          <w:szCs w:val="20"/>
        </w:rPr>
        <w:t>economics</w:t>
      </w:r>
      <w:r w:rsidRPr="000417A8">
        <w:rPr>
          <w:rFonts w:asciiTheme="minorHAnsi" w:hAnsiTheme="minorHAnsi"/>
          <w:sz w:val="20"/>
          <w:szCs w:val="20"/>
        </w:rPr>
        <w:t xml:space="preserve"> and strategies to improve the delivery of care.</w:t>
      </w:r>
    </w:p>
    <w:p w:rsidR="000417A8" w:rsidRDefault="000417A8" w:rsidP="00846BBA">
      <w:pPr>
        <w:rPr>
          <w:rFonts w:asciiTheme="minorHAnsi" w:hAnsiTheme="minorHAnsi"/>
          <w:sz w:val="20"/>
          <w:szCs w:val="20"/>
        </w:rPr>
      </w:pPr>
    </w:p>
    <w:p w:rsidR="00846BBA" w:rsidRPr="004F7F16" w:rsidRDefault="008343BB" w:rsidP="00846BBA">
      <w:pPr>
        <w:rPr>
          <w:rFonts w:asciiTheme="minorHAnsi" w:hAnsiTheme="minorHAnsi" w:cs="GillSans-Bold"/>
          <w:b/>
          <w:bCs/>
          <w:szCs w:val="20"/>
        </w:rPr>
      </w:pPr>
      <w:r w:rsidRPr="004F7F16">
        <w:rPr>
          <w:rFonts w:asciiTheme="minorHAnsi" w:hAnsiTheme="minorHAnsi" w:cs="GillSans-Bold"/>
          <w:b/>
          <w:bCs/>
          <w:szCs w:val="20"/>
        </w:rPr>
        <w:t>OBJECTIVES</w:t>
      </w:r>
    </w:p>
    <w:p w:rsidR="00846BBA" w:rsidRPr="003C51E5" w:rsidRDefault="005E04DA" w:rsidP="002644C0">
      <w:pPr>
        <w:jc w:val="both"/>
        <w:rPr>
          <w:rStyle w:val="googqs-tidbit1"/>
          <w:rFonts w:asciiTheme="minorHAnsi" w:hAnsiTheme="minorHAnsi"/>
          <w:sz w:val="20"/>
          <w:szCs w:val="20"/>
        </w:rPr>
      </w:pPr>
      <w:r w:rsidRPr="003C51E5">
        <w:rPr>
          <w:rStyle w:val="googqs-tidbit1"/>
          <w:rFonts w:asciiTheme="minorHAnsi" w:hAnsiTheme="minorHAnsi"/>
          <w:sz w:val="20"/>
          <w:szCs w:val="20"/>
          <w:specVanish w:val="0"/>
        </w:rPr>
        <w:t>At the conclusion of this activity, the participant should be able to</w:t>
      </w:r>
      <w:r w:rsidR="00846BBA" w:rsidRPr="003C51E5">
        <w:rPr>
          <w:rStyle w:val="googqs-tidbit1"/>
          <w:rFonts w:asciiTheme="minorHAnsi" w:hAnsiTheme="minorHAnsi"/>
          <w:sz w:val="20"/>
          <w:szCs w:val="20"/>
          <w:specVanish w:val="0"/>
        </w:rPr>
        <w:t xml:space="preserve">: </w:t>
      </w:r>
    </w:p>
    <w:p w:rsidR="00E6404A" w:rsidRDefault="00E6404A" w:rsidP="00FA0A14">
      <w:pPr>
        <w:rPr>
          <w:rFonts w:asciiTheme="minorHAnsi" w:eastAsiaTheme="minorHAnsi" w:hAnsiTheme="minorHAnsi" w:cstheme="minorBidi"/>
          <w:sz w:val="20"/>
          <w:szCs w:val="22"/>
        </w:rPr>
      </w:pPr>
      <w:r w:rsidRPr="00E6404A">
        <w:rPr>
          <w:rFonts w:asciiTheme="minorHAnsi" w:eastAsiaTheme="minorHAnsi" w:hAnsiTheme="minorHAnsi" w:cstheme="minorBidi"/>
          <w:sz w:val="20"/>
          <w:szCs w:val="22"/>
        </w:rPr>
        <w:t>1) Quantify the magnitude of unused MS</w:t>
      </w:r>
      <w:bookmarkStart w:id="0" w:name="_GoBack"/>
      <w:bookmarkEnd w:id="0"/>
      <w:r w:rsidRPr="00E6404A">
        <w:rPr>
          <w:rFonts w:asciiTheme="minorHAnsi" w:eastAsiaTheme="minorHAnsi" w:hAnsiTheme="minorHAnsi" w:cstheme="minorBidi"/>
          <w:sz w:val="20"/>
          <w:szCs w:val="22"/>
        </w:rPr>
        <w:t xml:space="preserve"> disease modifying therapies; </w:t>
      </w:r>
    </w:p>
    <w:p w:rsidR="00E6404A" w:rsidRDefault="00E6404A" w:rsidP="00FA0A14">
      <w:pPr>
        <w:rPr>
          <w:rFonts w:asciiTheme="minorHAnsi" w:eastAsiaTheme="minorHAnsi" w:hAnsiTheme="minorHAnsi" w:cstheme="minorBidi"/>
          <w:sz w:val="20"/>
          <w:szCs w:val="22"/>
        </w:rPr>
      </w:pPr>
      <w:r w:rsidRPr="00E6404A">
        <w:rPr>
          <w:rFonts w:asciiTheme="minorHAnsi" w:eastAsiaTheme="minorHAnsi" w:hAnsiTheme="minorHAnsi" w:cstheme="minorBidi"/>
          <w:sz w:val="20"/>
          <w:szCs w:val="22"/>
        </w:rPr>
        <w:t xml:space="preserve">2) Identify the fundamental reasons for waste; and </w:t>
      </w:r>
    </w:p>
    <w:p w:rsidR="00E6404A" w:rsidRDefault="00E6404A" w:rsidP="00FA0A14">
      <w:pPr>
        <w:rPr>
          <w:rFonts w:asciiTheme="minorHAnsi" w:eastAsiaTheme="minorHAnsi" w:hAnsiTheme="minorHAnsi" w:cstheme="minorBidi"/>
          <w:sz w:val="20"/>
          <w:szCs w:val="22"/>
        </w:rPr>
      </w:pPr>
      <w:r w:rsidRPr="00E6404A">
        <w:rPr>
          <w:rFonts w:asciiTheme="minorHAnsi" w:eastAsiaTheme="minorHAnsi" w:hAnsiTheme="minorHAnsi" w:cstheme="minorBidi"/>
          <w:sz w:val="20"/>
          <w:szCs w:val="22"/>
        </w:rPr>
        <w:t>3) Provide solutions to clinicians that not only aim to optimize the delivery of care for patients but models that may enhance access to these high-priced treatments in underserved populations.</w:t>
      </w:r>
    </w:p>
    <w:p w:rsidR="00E6404A" w:rsidRDefault="00E6404A" w:rsidP="00FA0A14">
      <w:pPr>
        <w:rPr>
          <w:rFonts w:asciiTheme="minorHAnsi" w:eastAsiaTheme="minorHAnsi" w:hAnsiTheme="minorHAnsi" w:cstheme="minorBidi"/>
          <w:sz w:val="20"/>
          <w:szCs w:val="22"/>
        </w:rPr>
      </w:pPr>
    </w:p>
    <w:p w:rsidR="00846BBA" w:rsidRPr="004F7F16" w:rsidRDefault="008343BB" w:rsidP="00FA0A14">
      <w:pPr>
        <w:rPr>
          <w:rFonts w:asciiTheme="minorHAnsi" w:hAnsiTheme="minorHAnsi" w:cs="GillSans-Bold"/>
          <w:b/>
          <w:bCs/>
          <w:szCs w:val="20"/>
        </w:rPr>
      </w:pPr>
      <w:r w:rsidRPr="004F7F16">
        <w:rPr>
          <w:rFonts w:asciiTheme="minorHAnsi" w:hAnsiTheme="minorHAnsi" w:cs="GillSans-Bold"/>
          <w:b/>
          <w:bCs/>
          <w:szCs w:val="20"/>
        </w:rPr>
        <w:t>TARGET AUDIENCE</w:t>
      </w:r>
    </w:p>
    <w:p w:rsidR="0061540D" w:rsidRPr="003C51E5" w:rsidRDefault="003C51E5" w:rsidP="000B15F9">
      <w:pPr>
        <w:autoSpaceDE w:val="0"/>
        <w:autoSpaceDN w:val="0"/>
        <w:adjustRightInd w:val="0"/>
        <w:jc w:val="both"/>
        <w:rPr>
          <w:rFonts w:asciiTheme="minorHAnsi" w:hAnsiTheme="minorHAnsi" w:cs="Helvetica"/>
          <w:sz w:val="20"/>
          <w:szCs w:val="20"/>
        </w:rPr>
      </w:pPr>
      <w:r w:rsidRPr="003C51E5">
        <w:rPr>
          <w:rFonts w:asciiTheme="minorHAnsi" w:hAnsiTheme="minorHAnsi" w:cs="Helvetica"/>
          <w:sz w:val="20"/>
          <w:szCs w:val="20"/>
        </w:rPr>
        <w:t>This conference is designed for an inter-professional and multidisciplinary audience that are involved with or play a role in health care</w:t>
      </w:r>
      <w:r w:rsidR="00E6404A">
        <w:rPr>
          <w:rFonts w:asciiTheme="minorHAnsi" w:hAnsiTheme="minorHAnsi" w:cs="Helvetica"/>
          <w:sz w:val="20"/>
          <w:szCs w:val="20"/>
        </w:rPr>
        <w:t>.</w:t>
      </w:r>
      <w:r w:rsidRPr="003C51E5">
        <w:rPr>
          <w:rFonts w:asciiTheme="minorHAnsi" w:hAnsiTheme="minorHAnsi" w:cs="Helvetica"/>
          <w:sz w:val="20"/>
          <w:szCs w:val="20"/>
        </w:rPr>
        <w:t xml:space="preserve"> </w:t>
      </w:r>
    </w:p>
    <w:p w:rsidR="00F67816" w:rsidRPr="005944A8" w:rsidRDefault="00F67816" w:rsidP="000B15F9">
      <w:pPr>
        <w:autoSpaceDE w:val="0"/>
        <w:autoSpaceDN w:val="0"/>
        <w:adjustRightInd w:val="0"/>
        <w:jc w:val="both"/>
        <w:rPr>
          <w:rFonts w:asciiTheme="minorHAnsi" w:hAnsiTheme="minorHAnsi" w:cs="Helvetica"/>
          <w:b/>
          <w:sz w:val="20"/>
          <w:szCs w:val="20"/>
        </w:rPr>
      </w:pPr>
    </w:p>
    <w:p w:rsidR="000B15F9" w:rsidRPr="004F7F16" w:rsidRDefault="008343BB" w:rsidP="000B15F9">
      <w:pPr>
        <w:autoSpaceDE w:val="0"/>
        <w:autoSpaceDN w:val="0"/>
        <w:adjustRightInd w:val="0"/>
        <w:jc w:val="both"/>
        <w:rPr>
          <w:rFonts w:asciiTheme="minorHAnsi" w:hAnsiTheme="minorHAnsi" w:cs="Helvetica"/>
          <w:b/>
          <w:szCs w:val="20"/>
        </w:rPr>
      </w:pPr>
      <w:r w:rsidRPr="004F7F16">
        <w:rPr>
          <w:rFonts w:asciiTheme="minorHAnsi" w:hAnsiTheme="minorHAnsi" w:cs="Helvetica"/>
          <w:b/>
          <w:szCs w:val="20"/>
        </w:rPr>
        <w:t>ACCREDITATION</w:t>
      </w:r>
      <w:r w:rsidR="00145167" w:rsidRPr="004F7F16">
        <w:rPr>
          <w:rFonts w:asciiTheme="minorHAnsi" w:hAnsiTheme="minorHAnsi" w:cs="Helvetica"/>
          <w:b/>
          <w:szCs w:val="20"/>
        </w:rPr>
        <w:t xml:space="preserve"> AND CREDIT DESIGNATION STATEMENTS</w:t>
      </w:r>
    </w:p>
    <w:p w:rsidR="000417A8" w:rsidRPr="000417A8" w:rsidRDefault="000417A8" w:rsidP="000417A8">
      <w:pPr>
        <w:autoSpaceDE w:val="0"/>
        <w:autoSpaceDN w:val="0"/>
        <w:adjustRightInd w:val="0"/>
        <w:rPr>
          <w:rFonts w:asciiTheme="minorHAnsi" w:hAnsiTheme="minorHAnsi" w:cs="Helvetica"/>
          <w:b/>
          <w:sz w:val="20"/>
          <w:szCs w:val="20"/>
          <w:u w:val="single"/>
        </w:rPr>
      </w:pPr>
      <w:r w:rsidRPr="000417A8">
        <w:rPr>
          <w:rFonts w:asciiTheme="minorHAnsi" w:hAnsiTheme="minorHAnsi" w:cs="Helvetica"/>
          <w:b/>
          <w:sz w:val="20"/>
          <w:szCs w:val="20"/>
          <w:u w:val="single"/>
        </w:rPr>
        <w:t xml:space="preserve">Accreditation </w:t>
      </w:r>
    </w:p>
    <w:p w:rsidR="000417A8" w:rsidRPr="000417A8" w:rsidRDefault="000417A8" w:rsidP="000417A8">
      <w:pPr>
        <w:autoSpaceDE w:val="0"/>
        <w:autoSpaceDN w:val="0"/>
        <w:adjustRightInd w:val="0"/>
        <w:rPr>
          <w:rFonts w:asciiTheme="minorHAnsi" w:hAnsiTheme="minorHAnsi" w:cs="Helvetica"/>
          <w:sz w:val="20"/>
          <w:szCs w:val="20"/>
        </w:rPr>
      </w:pPr>
      <w:r w:rsidRPr="000417A8">
        <w:rPr>
          <w:rFonts w:asciiTheme="minorHAnsi" w:hAnsiTheme="minorHAnsi" w:cs="Helvetica"/>
          <w:sz w:val="20"/>
          <w:szCs w:val="20"/>
        </w:rPr>
        <w:t xml:space="preserve">This activity has been planned and implemented in accordance with the accreditation requirements and policies of the Accreditation Council for Continuing Medical Education (ACCME) through the joint providership of the University of Texas Southwestern Medical Center and Free2Care. The University of Texas Southwestern Medical Center is accredited by the ACCME to provide continuing medical education for physicians. </w:t>
      </w:r>
    </w:p>
    <w:p w:rsidR="000417A8" w:rsidRPr="000417A8" w:rsidRDefault="000417A8" w:rsidP="000417A8">
      <w:pPr>
        <w:autoSpaceDE w:val="0"/>
        <w:autoSpaceDN w:val="0"/>
        <w:adjustRightInd w:val="0"/>
        <w:rPr>
          <w:rFonts w:asciiTheme="minorHAnsi" w:hAnsiTheme="minorHAnsi" w:cs="Helvetica"/>
          <w:sz w:val="20"/>
          <w:szCs w:val="20"/>
        </w:rPr>
      </w:pPr>
    </w:p>
    <w:p w:rsidR="000417A8" w:rsidRPr="000417A8" w:rsidRDefault="000417A8" w:rsidP="000417A8">
      <w:pPr>
        <w:autoSpaceDE w:val="0"/>
        <w:autoSpaceDN w:val="0"/>
        <w:adjustRightInd w:val="0"/>
        <w:rPr>
          <w:rFonts w:asciiTheme="minorHAnsi" w:hAnsiTheme="minorHAnsi" w:cs="Helvetica"/>
          <w:b/>
          <w:sz w:val="20"/>
          <w:szCs w:val="20"/>
          <w:u w:val="single"/>
        </w:rPr>
      </w:pPr>
      <w:r w:rsidRPr="000417A8">
        <w:rPr>
          <w:rFonts w:asciiTheme="minorHAnsi" w:hAnsiTheme="minorHAnsi" w:cs="Helvetica"/>
          <w:b/>
          <w:sz w:val="20"/>
          <w:szCs w:val="20"/>
          <w:u w:val="single"/>
        </w:rPr>
        <w:t xml:space="preserve">Credit Designation </w:t>
      </w:r>
    </w:p>
    <w:p w:rsidR="000417A8" w:rsidRPr="000417A8" w:rsidRDefault="000417A8" w:rsidP="000417A8">
      <w:pPr>
        <w:autoSpaceDE w:val="0"/>
        <w:autoSpaceDN w:val="0"/>
        <w:adjustRightInd w:val="0"/>
        <w:rPr>
          <w:rFonts w:asciiTheme="minorHAnsi" w:hAnsiTheme="minorHAnsi" w:cs="Helvetica"/>
          <w:sz w:val="20"/>
          <w:szCs w:val="20"/>
        </w:rPr>
      </w:pPr>
      <w:r w:rsidRPr="000417A8">
        <w:rPr>
          <w:rFonts w:asciiTheme="minorHAnsi" w:hAnsiTheme="minorHAnsi" w:cs="Helvetica"/>
          <w:sz w:val="20"/>
          <w:szCs w:val="20"/>
        </w:rPr>
        <w:t xml:space="preserve">The University of Texas Southwestern Medical Center designates this continuing education activity for a maximum of 2.0 </w:t>
      </w:r>
      <w:r w:rsidRPr="000417A8">
        <w:rPr>
          <w:rFonts w:asciiTheme="minorHAnsi" w:hAnsiTheme="minorHAnsi" w:cs="Helvetica"/>
          <w:i/>
          <w:sz w:val="20"/>
          <w:szCs w:val="20"/>
        </w:rPr>
        <w:t>AMA PRA Category 1 Credits</w:t>
      </w:r>
      <w:r w:rsidRPr="000417A8">
        <w:rPr>
          <w:rFonts w:asciiTheme="minorHAnsi" w:hAnsiTheme="minorHAnsi" w:cs="Helvetica"/>
          <w:sz w:val="20"/>
          <w:szCs w:val="20"/>
        </w:rPr>
        <w:t xml:space="preserve">™. Physicians should only claim credit commensurate with the extent of their participation in the activity. </w:t>
      </w:r>
    </w:p>
    <w:p w:rsidR="000417A8" w:rsidRPr="000417A8" w:rsidRDefault="000417A8" w:rsidP="000417A8">
      <w:pPr>
        <w:autoSpaceDE w:val="0"/>
        <w:autoSpaceDN w:val="0"/>
        <w:adjustRightInd w:val="0"/>
        <w:rPr>
          <w:rFonts w:asciiTheme="minorHAnsi" w:hAnsiTheme="minorHAnsi" w:cs="Helvetica"/>
          <w:sz w:val="8"/>
          <w:szCs w:val="8"/>
        </w:rPr>
      </w:pPr>
    </w:p>
    <w:p w:rsidR="000417A8" w:rsidRDefault="000417A8" w:rsidP="000417A8">
      <w:pPr>
        <w:autoSpaceDE w:val="0"/>
        <w:autoSpaceDN w:val="0"/>
        <w:adjustRightInd w:val="0"/>
        <w:rPr>
          <w:rFonts w:asciiTheme="minorHAnsi" w:hAnsiTheme="minorHAnsi" w:cs="Helvetica"/>
          <w:sz w:val="20"/>
          <w:szCs w:val="20"/>
        </w:rPr>
      </w:pPr>
      <w:r w:rsidRPr="000417A8">
        <w:rPr>
          <w:rFonts w:asciiTheme="minorHAnsi" w:hAnsiTheme="minorHAnsi" w:cs="Helvetica"/>
          <w:sz w:val="20"/>
          <w:szCs w:val="20"/>
        </w:rPr>
        <w:t xml:space="preserve">The University of Texas Southwestern Medical Center certifies that non-physicians will receive an attendance certificate stating that they participated in the activity that was designated for a maximum of 2.0 </w:t>
      </w:r>
      <w:r w:rsidRPr="000417A8">
        <w:rPr>
          <w:rFonts w:asciiTheme="minorHAnsi" w:hAnsiTheme="minorHAnsi" w:cs="Helvetica"/>
          <w:i/>
          <w:sz w:val="20"/>
          <w:szCs w:val="20"/>
        </w:rPr>
        <w:t>AMA PRA Category 1 Credits</w:t>
      </w:r>
      <w:r w:rsidRPr="000417A8">
        <w:rPr>
          <w:rFonts w:asciiTheme="minorHAnsi" w:hAnsiTheme="minorHAnsi" w:cs="Helvetica"/>
          <w:sz w:val="20"/>
          <w:szCs w:val="20"/>
        </w:rPr>
        <w:t>™.</w:t>
      </w:r>
    </w:p>
    <w:p w:rsidR="000417A8" w:rsidRDefault="000417A8" w:rsidP="000417A8">
      <w:pPr>
        <w:autoSpaceDE w:val="0"/>
        <w:autoSpaceDN w:val="0"/>
        <w:adjustRightInd w:val="0"/>
        <w:rPr>
          <w:rFonts w:asciiTheme="minorHAnsi" w:hAnsiTheme="minorHAnsi" w:cs="Helvetica"/>
          <w:sz w:val="20"/>
          <w:szCs w:val="20"/>
        </w:rPr>
      </w:pPr>
    </w:p>
    <w:p w:rsidR="000B15F9" w:rsidRPr="004F7F16" w:rsidRDefault="000B15F9" w:rsidP="000417A8">
      <w:pPr>
        <w:autoSpaceDE w:val="0"/>
        <w:autoSpaceDN w:val="0"/>
        <w:adjustRightInd w:val="0"/>
        <w:rPr>
          <w:rFonts w:asciiTheme="minorHAnsi" w:hAnsiTheme="minorHAnsi" w:cs="Arial"/>
          <w:b/>
          <w:bCs/>
          <w:szCs w:val="20"/>
        </w:rPr>
      </w:pPr>
      <w:r w:rsidRPr="004F7F16">
        <w:rPr>
          <w:rFonts w:asciiTheme="minorHAnsi" w:hAnsiTheme="minorHAnsi" w:cs="Arial"/>
          <w:b/>
          <w:bCs/>
          <w:szCs w:val="20"/>
        </w:rPr>
        <w:t>EDUCATIONAL METHODS</w:t>
      </w:r>
    </w:p>
    <w:p w:rsidR="005944A8" w:rsidRDefault="000417A8" w:rsidP="005944A8">
      <w:pPr>
        <w:autoSpaceDE w:val="0"/>
        <w:autoSpaceDN w:val="0"/>
        <w:adjustRightInd w:val="0"/>
        <w:jc w:val="both"/>
        <w:rPr>
          <w:rFonts w:asciiTheme="minorHAnsi" w:hAnsiTheme="minorHAnsi" w:cs="Arial"/>
          <w:color w:val="000000"/>
          <w:sz w:val="20"/>
          <w:szCs w:val="20"/>
        </w:rPr>
      </w:pPr>
      <w:r>
        <w:rPr>
          <w:rFonts w:asciiTheme="minorHAnsi" w:hAnsiTheme="minorHAnsi" w:cs="Arial"/>
          <w:color w:val="000000"/>
          <w:sz w:val="20"/>
          <w:szCs w:val="20"/>
        </w:rPr>
        <w:t>Didactic Presentation, Literature Review and Discussion,</w:t>
      </w:r>
      <w:r w:rsidR="000B15F9" w:rsidRPr="003C51E5">
        <w:rPr>
          <w:rFonts w:asciiTheme="minorHAnsi" w:hAnsiTheme="minorHAnsi" w:cs="Arial"/>
          <w:color w:val="000000"/>
          <w:sz w:val="20"/>
          <w:szCs w:val="20"/>
        </w:rPr>
        <w:t xml:space="preserve"> Question and Answer Session</w:t>
      </w:r>
    </w:p>
    <w:p w:rsidR="005944A8" w:rsidRDefault="005944A8" w:rsidP="005944A8">
      <w:pPr>
        <w:autoSpaceDE w:val="0"/>
        <w:autoSpaceDN w:val="0"/>
        <w:adjustRightInd w:val="0"/>
        <w:jc w:val="both"/>
        <w:rPr>
          <w:rFonts w:asciiTheme="minorHAnsi" w:hAnsiTheme="minorHAnsi" w:cs="Arial"/>
          <w:color w:val="000000"/>
          <w:sz w:val="20"/>
          <w:szCs w:val="20"/>
        </w:rPr>
      </w:pPr>
    </w:p>
    <w:p w:rsidR="005944A8" w:rsidRDefault="000B15F9" w:rsidP="005944A8">
      <w:pPr>
        <w:autoSpaceDE w:val="0"/>
        <w:autoSpaceDN w:val="0"/>
        <w:adjustRightInd w:val="0"/>
        <w:jc w:val="both"/>
        <w:rPr>
          <w:rFonts w:asciiTheme="minorHAnsi" w:hAnsiTheme="minorHAnsi" w:cs="Arial"/>
          <w:b/>
          <w:bCs/>
          <w:szCs w:val="20"/>
        </w:rPr>
      </w:pPr>
      <w:r w:rsidRPr="004F7F16">
        <w:rPr>
          <w:rFonts w:asciiTheme="minorHAnsi" w:hAnsiTheme="minorHAnsi" w:cs="Arial"/>
          <w:b/>
          <w:bCs/>
          <w:szCs w:val="20"/>
        </w:rPr>
        <w:t>EVALUATION</w:t>
      </w:r>
    </w:p>
    <w:p w:rsidR="00145167" w:rsidRPr="004F7F16" w:rsidRDefault="000B15F9" w:rsidP="005944A8">
      <w:pPr>
        <w:autoSpaceDE w:val="0"/>
        <w:autoSpaceDN w:val="0"/>
        <w:adjustRightInd w:val="0"/>
        <w:spacing w:after="240"/>
        <w:jc w:val="both"/>
        <w:rPr>
          <w:rFonts w:asciiTheme="minorHAnsi" w:hAnsiTheme="minorHAnsi" w:cs="GillSans-Bold"/>
          <w:b/>
          <w:bCs/>
          <w:szCs w:val="22"/>
        </w:rPr>
      </w:pPr>
      <w:r w:rsidRPr="003C51E5">
        <w:rPr>
          <w:rFonts w:asciiTheme="minorHAnsi" w:hAnsiTheme="minorHAnsi" w:cs="Arial"/>
          <w:color w:val="000000"/>
          <w:sz w:val="20"/>
          <w:szCs w:val="20"/>
        </w:rPr>
        <w:t>Evaluation by questionnaire will address program content, presentation, and possible bias.</w:t>
      </w:r>
      <w:r w:rsidR="00145167" w:rsidRPr="004F7F16">
        <w:rPr>
          <w:rFonts w:asciiTheme="minorHAnsi" w:hAnsiTheme="minorHAnsi" w:cs="GillSans-Bold"/>
          <w:b/>
          <w:bCs/>
          <w:szCs w:val="22"/>
        </w:rPr>
        <w:br w:type="page"/>
      </w:r>
    </w:p>
    <w:p w:rsidR="00D46ECA" w:rsidRPr="004F7F16" w:rsidRDefault="00D46ECA" w:rsidP="00D46ECA">
      <w:pPr>
        <w:jc w:val="center"/>
        <w:rPr>
          <w:rFonts w:asciiTheme="minorHAnsi" w:hAnsiTheme="minorHAnsi" w:cs="GillSans-Bold"/>
          <w:b/>
          <w:bCs/>
          <w:sz w:val="28"/>
          <w:szCs w:val="22"/>
        </w:rPr>
      </w:pPr>
      <w:r w:rsidRPr="004F7F16">
        <w:rPr>
          <w:rFonts w:asciiTheme="minorHAnsi" w:hAnsiTheme="minorHAnsi" w:cs="GillSans-Bold"/>
          <w:b/>
          <w:bCs/>
          <w:sz w:val="28"/>
          <w:szCs w:val="22"/>
        </w:rPr>
        <w:lastRenderedPageBreak/>
        <w:t>DISCLOSURE OF FINANCIAL RELATIONSHIPS WITH INELIGIBLE COMPANIES</w:t>
      </w:r>
    </w:p>
    <w:p w:rsidR="00D46ECA" w:rsidRPr="000B7D55" w:rsidRDefault="00D46ECA" w:rsidP="004C3676">
      <w:pPr>
        <w:jc w:val="both"/>
        <w:rPr>
          <w:rFonts w:asciiTheme="minorHAnsi" w:hAnsiTheme="minorHAnsi" w:cs="GillSans-Bold"/>
          <w:b/>
          <w:bCs/>
          <w:sz w:val="20"/>
          <w:szCs w:val="20"/>
        </w:rPr>
      </w:pPr>
    </w:p>
    <w:p w:rsidR="00AC7C0C" w:rsidRPr="0056563B" w:rsidRDefault="00D46ECA" w:rsidP="004C3676">
      <w:pPr>
        <w:jc w:val="both"/>
        <w:rPr>
          <w:rFonts w:asciiTheme="minorHAnsi" w:hAnsiTheme="minorHAnsi" w:cs="GillSans-Bold"/>
          <w:bCs/>
          <w:sz w:val="20"/>
          <w:szCs w:val="22"/>
        </w:rPr>
      </w:pPr>
      <w:r w:rsidRPr="0056563B">
        <w:rPr>
          <w:rFonts w:asciiTheme="minorHAnsi" w:hAnsiTheme="minorHAnsi" w:cs="GillSans-Bold"/>
          <w:bCs/>
          <w:sz w:val="20"/>
          <w:szCs w:val="22"/>
        </w:rPr>
        <w:t xml:space="preserve">As an organization accredited by the Accreditation Council for Continuing Medical Education (ACCME), The University of Texas Southwestern Medical Center, Office of Continuing Medical Education (UTSW CME) requires that the content of CME activities and related materials provide balance, independence, objectivity, and scientific rigor. Planning must be free of the influence or control of any ineligible company, and promote improvements or quality in healthcare.  In accordance with ACCCME’s Standards for Integrity and Independence in Accredited Continuing Education, all persons in the position to control the content of an education activity are required to disclose all financial relationships in any amount occurring within the past 24 months with any ineligible company producing, marketing, re-selling, or distributing health care goods or services consumed by, or used on patients.  UT Southwestern also considers ineligible those companies producing, marketing, selling, re-selling, or distributing healthcare products in development for future use on patients, such as healthcare product research companies.  All reported financial relationships with ineligible companies are reviewed for relevancy and then mitigated through a content review process prior to the activity (where applicable).  </w:t>
      </w:r>
    </w:p>
    <w:p w:rsidR="00D46ECA" w:rsidRPr="0061540D" w:rsidRDefault="00D46ECA" w:rsidP="004C3676">
      <w:pPr>
        <w:jc w:val="both"/>
        <w:rPr>
          <w:rFonts w:asciiTheme="minorHAnsi" w:hAnsiTheme="minorHAnsi" w:cs="GillSans-Bold"/>
          <w:bCs/>
          <w:sz w:val="22"/>
          <w:szCs w:val="22"/>
        </w:rPr>
      </w:pPr>
    </w:p>
    <w:p w:rsidR="00AC7C0C" w:rsidRPr="0061540D" w:rsidRDefault="0061540D" w:rsidP="0061540D">
      <w:pPr>
        <w:jc w:val="both"/>
        <w:rPr>
          <w:rFonts w:asciiTheme="minorHAnsi" w:hAnsiTheme="minorHAnsi" w:cs="GillSans-Bold"/>
          <w:b/>
          <w:bCs/>
          <w:sz w:val="22"/>
          <w:szCs w:val="22"/>
        </w:rPr>
      </w:pPr>
      <w:r w:rsidRPr="0061540D">
        <w:rPr>
          <w:rFonts w:asciiTheme="minorHAnsi" w:hAnsiTheme="minorHAnsi" w:cs="GillSans-Bold"/>
          <w:b/>
          <w:bCs/>
          <w:sz w:val="22"/>
          <w:szCs w:val="22"/>
        </w:rPr>
        <w:t>The following is a listing of all individuals that contributed to the educational content of this activity and any reported financial relationships within the last 24 months:</w:t>
      </w:r>
    </w:p>
    <w:p w:rsidR="0061540D" w:rsidRPr="0056563B" w:rsidRDefault="0083669C" w:rsidP="0083669C">
      <w:pPr>
        <w:tabs>
          <w:tab w:val="left" w:pos="6474"/>
        </w:tabs>
        <w:rPr>
          <w:rFonts w:asciiTheme="minorHAnsi" w:hAnsiTheme="minorHAnsi" w:cs="GillSans-Bold"/>
          <w:bCs/>
          <w:sz w:val="20"/>
          <w:szCs w:val="22"/>
        </w:rPr>
      </w:pPr>
      <w:r>
        <w:rPr>
          <w:rFonts w:asciiTheme="minorHAnsi" w:hAnsiTheme="minorHAnsi" w:cs="GillSans-Bold"/>
          <w:bCs/>
          <w:sz w:val="20"/>
          <w:szCs w:val="22"/>
        </w:rPr>
        <w:tab/>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7"/>
        <w:gridCol w:w="3690"/>
        <w:gridCol w:w="4703"/>
      </w:tblGrid>
      <w:tr w:rsidR="00145167" w:rsidRPr="004F7F16" w:rsidTr="0083669C">
        <w:trPr>
          <w:trHeight w:val="141"/>
        </w:trPr>
        <w:tc>
          <w:tcPr>
            <w:tcW w:w="2317" w:type="dxa"/>
            <w:tcBorders>
              <w:bottom w:val="single" w:sz="4" w:space="0" w:color="auto"/>
            </w:tcBorders>
            <w:shd w:val="clear" w:color="auto" w:fill="E0E0E0"/>
          </w:tcPr>
          <w:p w:rsidR="00145167" w:rsidRPr="004F7F16" w:rsidRDefault="003C51E5" w:rsidP="00940AEA">
            <w:pPr>
              <w:jc w:val="center"/>
              <w:rPr>
                <w:rFonts w:asciiTheme="minorHAnsi" w:hAnsiTheme="minorHAnsi" w:cs="GillSans-Bold"/>
                <w:b/>
                <w:bCs/>
                <w:sz w:val="20"/>
                <w:szCs w:val="19"/>
              </w:rPr>
            </w:pPr>
            <w:r>
              <w:rPr>
                <w:rFonts w:asciiTheme="minorHAnsi" w:hAnsiTheme="minorHAnsi" w:cs="GillSans-Bold"/>
                <w:b/>
                <w:bCs/>
                <w:sz w:val="20"/>
                <w:szCs w:val="19"/>
              </w:rPr>
              <w:t>Contributor</w:t>
            </w:r>
            <w:r w:rsidR="00145167" w:rsidRPr="004F7F16">
              <w:rPr>
                <w:rFonts w:asciiTheme="minorHAnsi" w:hAnsiTheme="minorHAnsi" w:cs="GillSans-Bold"/>
                <w:b/>
                <w:bCs/>
                <w:sz w:val="20"/>
                <w:szCs w:val="19"/>
              </w:rPr>
              <w:t xml:space="preserve"> Name</w:t>
            </w:r>
          </w:p>
        </w:tc>
        <w:tc>
          <w:tcPr>
            <w:tcW w:w="3690" w:type="dxa"/>
            <w:tcBorders>
              <w:bottom w:val="single" w:sz="4" w:space="0" w:color="auto"/>
            </w:tcBorders>
            <w:shd w:val="clear" w:color="auto" w:fill="E0E0E0"/>
          </w:tcPr>
          <w:p w:rsidR="00145167" w:rsidRPr="004F7F16" w:rsidRDefault="00145167" w:rsidP="00940AEA">
            <w:pPr>
              <w:jc w:val="center"/>
              <w:rPr>
                <w:rFonts w:asciiTheme="minorHAnsi" w:hAnsiTheme="minorHAnsi" w:cs="GillSans-Bold"/>
                <w:b/>
                <w:bCs/>
                <w:sz w:val="20"/>
                <w:szCs w:val="19"/>
              </w:rPr>
            </w:pPr>
            <w:r w:rsidRPr="004F7F16">
              <w:rPr>
                <w:rFonts w:asciiTheme="minorHAnsi" w:hAnsiTheme="minorHAnsi" w:cs="GillSans-Bold"/>
                <w:b/>
                <w:bCs/>
                <w:sz w:val="20"/>
                <w:szCs w:val="19"/>
              </w:rPr>
              <w:t>Nature of Relevant Relationship</w:t>
            </w:r>
          </w:p>
        </w:tc>
        <w:tc>
          <w:tcPr>
            <w:tcW w:w="4703" w:type="dxa"/>
            <w:tcBorders>
              <w:bottom w:val="single" w:sz="4" w:space="0" w:color="auto"/>
            </w:tcBorders>
            <w:shd w:val="clear" w:color="auto" w:fill="E0E0E0"/>
          </w:tcPr>
          <w:p w:rsidR="00145167" w:rsidRPr="004F7F16" w:rsidRDefault="00145167" w:rsidP="00940AEA">
            <w:pPr>
              <w:jc w:val="center"/>
              <w:rPr>
                <w:rFonts w:asciiTheme="minorHAnsi" w:hAnsiTheme="minorHAnsi" w:cs="GillSans-Bold"/>
                <w:b/>
                <w:bCs/>
                <w:sz w:val="20"/>
                <w:szCs w:val="19"/>
              </w:rPr>
            </w:pPr>
            <w:r w:rsidRPr="004F7F16">
              <w:rPr>
                <w:rFonts w:asciiTheme="minorHAnsi" w:hAnsiTheme="minorHAnsi" w:cs="GillSans-Bold"/>
                <w:b/>
                <w:bCs/>
                <w:sz w:val="20"/>
                <w:szCs w:val="19"/>
              </w:rPr>
              <w:t>Name of Commercial Interest</w:t>
            </w:r>
          </w:p>
        </w:tc>
      </w:tr>
      <w:tr w:rsidR="003C51E5" w:rsidRPr="004F7F16" w:rsidTr="0083669C">
        <w:trPr>
          <w:trHeight w:val="488"/>
        </w:trPr>
        <w:tc>
          <w:tcPr>
            <w:tcW w:w="2317" w:type="dxa"/>
            <w:shd w:val="clear" w:color="auto" w:fill="auto"/>
            <w:vAlign w:val="center"/>
          </w:tcPr>
          <w:p w:rsidR="003C51E5" w:rsidRDefault="000417A8" w:rsidP="003C51E5">
            <w:pPr>
              <w:rPr>
                <w:rFonts w:asciiTheme="minorHAnsi" w:hAnsiTheme="minorHAnsi" w:cstheme="minorHAnsi"/>
                <w:sz w:val="20"/>
                <w:szCs w:val="20"/>
              </w:rPr>
            </w:pPr>
            <w:r>
              <w:rPr>
                <w:rFonts w:asciiTheme="minorHAnsi" w:hAnsiTheme="minorHAnsi" w:cstheme="minorHAnsi"/>
                <w:sz w:val="20"/>
                <w:szCs w:val="20"/>
              </w:rPr>
              <w:t>Da</w:t>
            </w:r>
            <w:r w:rsidR="005944A8">
              <w:rPr>
                <w:rFonts w:asciiTheme="minorHAnsi" w:hAnsiTheme="minorHAnsi" w:cstheme="minorHAnsi"/>
                <w:sz w:val="20"/>
                <w:szCs w:val="20"/>
              </w:rPr>
              <w:t xml:space="preserve">rin T. </w:t>
            </w:r>
            <w:r>
              <w:rPr>
                <w:rFonts w:asciiTheme="minorHAnsi" w:hAnsiTheme="minorHAnsi" w:cstheme="minorHAnsi"/>
                <w:sz w:val="20"/>
                <w:szCs w:val="20"/>
              </w:rPr>
              <w:t>Okuda</w:t>
            </w:r>
            <w:r w:rsidR="0073147F">
              <w:rPr>
                <w:rFonts w:asciiTheme="minorHAnsi" w:hAnsiTheme="minorHAnsi" w:cstheme="minorHAnsi"/>
                <w:sz w:val="20"/>
                <w:szCs w:val="20"/>
              </w:rPr>
              <w:t>, MD, MSc</w:t>
            </w:r>
          </w:p>
          <w:p w:rsidR="000417A8" w:rsidRDefault="000417A8" w:rsidP="000417A8">
            <w:pPr>
              <w:rPr>
                <w:rFonts w:asciiTheme="minorHAnsi" w:hAnsiTheme="minorHAnsi" w:cstheme="minorHAnsi"/>
                <w:sz w:val="20"/>
                <w:szCs w:val="20"/>
              </w:rPr>
            </w:pPr>
            <w:r>
              <w:rPr>
                <w:rFonts w:asciiTheme="minorHAnsi" w:hAnsiTheme="minorHAnsi" w:cstheme="minorHAnsi"/>
                <w:sz w:val="20"/>
                <w:szCs w:val="20"/>
              </w:rPr>
              <w:t>Speaker</w:t>
            </w:r>
          </w:p>
          <w:p w:rsidR="005944A8" w:rsidRPr="0056563B" w:rsidRDefault="005944A8" w:rsidP="000417A8">
            <w:pPr>
              <w:rPr>
                <w:rFonts w:asciiTheme="minorHAnsi" w:hAnsiTheme="minorHAnsi" w:cstheme="minorHAnsi"/>
                <w:sz w:val="20"/>
                <w:szCs w:val="20"/>
              </w:rPr>
            </w:pPr>
          </w:p>
        </w:tc>
        <w:tc>
          <w:tcPr>
            <w:tcW w:w="3690" w:type="dxa"/>
            <w:tcBorders>
              <w:bottom w:val="single" w:sz="4" w:space="0" w:color="auto"/>
            </w:tcBorders>
            <w:shd w:val="clear" w:color="auto" w:fill="auto"/>
            <w:vAlign w:val="center"/>
          </w:tcPr>
          <w:p w:rsidR="0083669C" w:rsidRPr="0083669C" w:rsidRDefault="0083669C" w:rsidP="0073147F">
            <w:pPr>
              <w:rPr>
                <w:rFonts w:asciiTheme="minorHAnsi" w:hAnsiTheme="minorHAnsi" w:cstheme="minorHAnsi"/>
                <w:sz w:val="20"/>
                <w:szCs w:val="20"/>
                <w:u w:val="single"/>
              </w:rPr>
            </w:pPr>
            <w:r>
              <w:rPr>
                <w:rFonts w:asciiTheme="minorHAnsi" w:hAnsiTheme="minorHAnsi" w:cstheme="minorHAnsi"/>
                <w:sz w:val="20"/>
                <w:szCs w:val="20"/>
                <w:u w:val="single"/>
              </w:rPr>
              <w:t>_</w:t>
            </w:r>
            <w:r w:rsidR="0056563B" w:rsidRPr="0083669C">
              <w:rPr>
                <w:rFonts w:asciiTheme="minorHAnsi" w:hAnsiTheme="minorHAnsi" w:cstheme="minorHAnsi"/>
                <w:sz w:val="20"/>
                <w:szCs w:val="20"/>
                <w:u w:val="single"/>
              </w:rPr>
              <w:t>Professional Services (</w:t>
            </w:r>
            <w:r w:rsidR="0073147F" w:rsidRPr="0083669C">
              <w:rPr>
                <w:rFonts w:asciiTheme="minorHAnsi" w:hAnsiTheme="minorHAnsi" w:cstheme="minorHAnsi"/>
                <w:sz w:val="20"/>
                <w:szCs w:val="20"/>
                <w:u w:val="single"/>
              </w:rPr>
              <w:t>Consultant)</w:t>
            </w:r>
            <w:r>
              <w:rPr>
                <w:rFonts w:asciiTheme="minorHAnsi" w:hAnsiTheme="minorHAnsi" w:cstheme="minorHAnsi"/>
                <w:sz w:val="20"/>
                <w:szCs w:val="20"/>
                <w:u w:val="single"/>
              </w:rPr>
              <w:t>______</w:t>
            </w:r>
          </w:p>
          <w:p w:rsidR="003C51E5" w:rsidRPr="0083669C" w:rsidRDefault="0083669C" w:rsidP="0073147F">
            <w:pPr>
              <w:rPr>
                <w:rFonts w:asciiTheme="minorHAnsi" w:hAnsiTheme="minorHAnsi" w:cstheme="minorHAnsi"/>
                <w:sz w:val="20"/>
                <w:szCs w:val="20"/>
                <w:u w:val="single"/>
              </w:rPr>
            </w:pPr>
            <w:r>
              <w:rPr>
                <w:rFonts w:asciiTheme="minorHAnsi" w:hAnsiTheme="minorHAnsi" w:cstheme="minorHAnsi"/>
                <w:sz w:val="20"/>
                <w:szCs w:val="20"/>
                <w:u w:val="single"/>
              </w:rPr>
              <w:t>_</w:t>
            </w:r>
            <w:r w:rsidR="0073147F" w:rsidRPr="0083669C">
              <w:rPr>
                <w:rFonts w:asciiTheme="minorHAnsi" w:hAnsiTheme="minorHAnsi" w:cstheme="minorHAnsi"/>
                <w:sz w:val="20"/>
                <w:szCs w:val="20"/>
                <w:u w:val="single"/>
              </w:rPr>
              <w:t>Grant or Contract (Research Support)</w:t>
            </w:r>
            <w:r>
              <w:rPr>
                <w:rFonts w:asciiTheme="minorHAnsi" w:hAnsiTheme="minorHAnsi" w:cstheme="minorHAnsi"/>
                <w:sz w:val="20"/>
                <w:szCs w:val="20"/>
                <w:u w:val="single"/>
              </w:rPr>
              <w:t>___</w:t>
            </w:r>
          </w:p>
          <w:p w:rsidR="0073147F" w:rsidRPr="0056563B" w:rsidRDefault="0083669C" w:rsidP="0083669C">
            <w:pPr>
              <w:rPr>
                <w:rFonts w:asciiTheme="minorHAnsi" w:hAnsiTheme="minorHAnsi" w:cstheme="minorHAnsi"/>
                <w:sz w:val="20"/>
                <w:szCs w:val="20"/>
              </w:rPr>
            </w:pPr>
            <w:r>
              <w:rPr>
                <w:rFonts w:asciiTheme="minorHAnsi" w:hAnsiTheme="minorHAnsi" w:cstheme="minorHAnsi"/>
                <w:sz w:val="20"/>
                <w:szCs w:val="20"/>
              </w:rPr>
              <w:t xml:space="preserve">  </w:t>
            </w:r>
            <w:r w:rsidR="0073147F">
              <w:rPr>
                <w:rFonts w:asciiTheme="minorHAnsi" w:hAnsiTheme="minorHAnsi" w:cstheme="minorHAnsi"/>
                <w:sz w:val="20"/>
                <w:szCs w:val="20"/>
              </w:rPr>
              <w:t xml:space="preserve">Intellectual Properties Other (Royalties) </w:t>
            </w:r>
          </w:p>
        </w:tc>
        <w:tc>
          <w:tcPr>
            <w:tcW w:w="4703" w:type="dxa"/>
            <w:shd w:val="clear" w:color="auto" w:fill="auto"/>
            <w:vAlign w:val="center"/>
          </w:tcPr>
          <w:p w:rsidR="0056563B" w:rsidRPr="0083669C" w:rsidRDefault="0083669C" w:rsidP="003C51E5">
            <w:pPr>
              <w:rPr>
                <w:rFonts w:asciiTheme="minorHAnsi" w:hAnsiTheme="minorHAnsi" w:cstheme="minorHAnsi"/>
                <w:sz w:val="20"/>
                <w:szCs w:val="20"/>
                <w:u w:val="single"/>
              </w:rPr>
            </w:pPr>
            <w:r>
              <w:rPr>
                <w:rFonts w:asciiTheme="minorHAnsi" w:hAnsiTheme="minorHAnsi" w:cstheme="minorHAnsi"/>
                <w:sz w:val="20"/>
                <w:szCs w:val="20"/>
                <w:u w:val="single"/>
              </w:rPr>
              <w:t>__</w:t>
            </w:r>
            <w:r w:rsidR="0073147F" w:rsidRPr="0083669C">
              <w:rPr>
                <w:rFonts w:asciiTheme="minorHAnsi" w:hAnsiTheme="minorHAnsi" w:cstheme="minorHAnsi"/>
                <w:sz w:val="20"/>
                <w:szCs w:val="20"/>
                <w:u w:val="single"/>
              </w:rPr>
              <w:t>Biogen, Celgene, EMD Serono, Genzyme, VielaBio</w:t>
            </w:r>
            <w:r>
              <w:rPr>
                <w:rFonts w:asciiTheme="minorHAnsi" w:hAnsiTheme="minorHAnsi" w:cstheme="minorHAnsi"/>
                <w:sz w:val="20"/>
                <w:szCs w:val="20"/>
                <w:u w:val="single"/>
              </w:rPr>
              <w:t>__</w:t>
            </w:r>
          </w:p>
          <w:p w:rsidR="003C51E5" w:rsidRDefault="0083669C" w:rsidP="0073147F">
            <w:pPr>
              <w:rPr>
                <w:rFonts w:asciiTheme="minorHAnsi" w:hAnsiTheme="minorHAnsi" w:cstheme="minorHAnsi"/>
                <w:sz w:val="20"/>
                <w:szCs w:val="20"/>
              </w:rPr>
            </w:pPr>
            <w:r>
              <w:rPr>
                <w:rFonts w:asciiTheme="minorHAnsi" w:hAnsiTheme="minorHAnsi" w:cstheme="minorHAnsi"/>
                <w:sz w:val="20"/>
                <w:szCs w:val="20"/>
                <w:u w:val="single"/>
              </w:rPr>
              <w:t>__</w:t>
            </w:r>
            <w:r w:rsidR="0073147F" w:rsidRPr="0083669C">
              <w:rPr>
                <w:rFonts w:asciiTheme="minorHAnsi" w:hAnsiTheme="minorHAnsi" w:cstheme="minorHAnsi"/>
                <w:sz w:val="20"/>
                <w:szCs w:val="20"/>
                <w:u w:val="single"/>
              </w:rPr>
              <w:t>Biogen, EMD Serono</w:t>
            </w:r>
            <w:r>
              <w:rPr>
                <w:rFonts w:asciiTheme="minorHAnsi" w:hAnsiTheme="minorHAnsi" w:cstheme="minorHAnsi"/>
                <w:sz w:val="20"/>
                <w:szCs w:val="20"/>
                <w:u w:val="single"/>
              </w:rPr>
              <w:t>__________________________</w:t>
            </w:r>
          </w:p>
          <w:p w:rsidR="0073147F" w:rsidRPr="0056563B" w:rsidRDefault="0083669C" w:rsidP="0073147F">
            <w:pPr>
              <w:rPr>
                <w:rFonts w:asciiTheme="minorHAnsi" w:hAnsiTheme="minorHAnsi" w:cstheme="minorHAnsi"/>
                <w:sz w:val="20"/>
                <w:szCs w:val="20"/>
              </w:rPr>
            </w:pPr>
            <w:r>
              <w:rPr>
                <w:rFonts w:asciiTheme="minorHAnsi" w:hAnsiTheme="minorHAnsi" w:cstheme="minorHAnsi"/>
                <w:sz w:val="20"/>
                <w:szCs w:val="20"/>
              </w:rPr>
              <w:t xml:space="preserve">     </w:t>
            </w:r>
            <w:r w:rsidR="0073147F">
              <w:rPr>
                <w:rFonts w:asciiTheme="minorHAnsi" w:hAnsiTheme="minorHAnsi" w:cstheme="minorHAnsi"/>
                <w:sz w:val="20"/>
                <w:szCs w:val="20"/>
              </w:rPr>
              <w:t>Biogen, Celgene</w:t>
            </w:r>
          </w:p>
        </w:tc>
      </w:tr>
      <w:tr w:rsidR="003C51E5" w:rsidRPr="004F7F16" w:rsidTr="0083669C">
        <w:trPr>
          <w:trHeight w:val="575"/>
        </w:trPr>
        <w:tc>
          <w:tcPr>
            <w:tcW w:w="2317" w:type="dxa"/>
            <w:shd w:val="clear" w:color="auto" w:fill="auto"/>
            <w:vAlign w:val="center"/>
          </w:tcPr>
          <w:p w:rsidR="003C51E5" w:rsidRDefault="000417A8" w:rsidP="000417A8">
            <w:pPr>
              <w:rPr>
                <w:rFonts w:asciiTheme="minorHAnsi" w:hAnsiTheme="minorHAnsi" w:cstheme="minorHAnsi"/>
                <w:sz w:val="20"/>
                <w:szCs w:val="20"/>
              </w:rPr>
            </w:pPr>
            <w:r>
              <w:rPr>
                <w:rFonts w:asciiTheme="minorHAnsi" w:hAnsiTheme="minorHAnsi" w:cstheme="minorHAnsi"/>
                <w:sz w:val="20"/>
                <w:szCs w:val="20"/>
              </w:rPr>
              <w:t>David Balat</w:t>
            </w:r>
          </w:p>
          <w:p w:rsidR="000417A8" w:rsidRPr="0056563B" w:rsidRDefault="000417A8" w:rsidP="000417A8">
            <w:pPr>
              <w:rPr>
                <w:rFonts w:asciiTheme="minorHAnsi" w:hAnsiTheme="minorHAnsi" w:cstheme="minorHAnsi"/>
                <w:sz w:val="20"/>
                <w:szCs w:val="20"/>
              </w:rPr>
            </w:pPr>
            <w:r>
              <w:rPr>
                <w:rFonts w:asciiTheme="minorHAnsi" w:hAnsiTheme="minorHAnsi" w:cstheme="minorHAnsi"/>
                <w:sz w:val="20"/>
                <w:szCs w:val="20"/>
              </w:rPr>
              <w:t>Moderator</w:t>
            </w:r>
          </w:p>
        </w:tc>
        <w:tc>
          <w:tcPr>
            <w:tcW w:w="3690" w:type="dxa"/>
            <w:tcBorders>
              <w:top w:val="single" w:sz="4" w:space="0" w:color="auto"/>
            </w:tcBorders>
            <w:shd w:val="clear" w:color="auto" w:fill="auto"/>
            <w:vAlign w:val="center"/>
          </w:tcPr>
          <w:p w:rsidR="003C51E5" w:rsidRPr="0056563B" w:rsidRDefault="00BA2F93" w:rsidP="0056563B">
            <w:pPr>
              <w:rPr>
                <w:rFonts w:asciiTheme="minorHAnsi" w:hAnsiTheme="minorHAnsi" w:cstheme="minorHAnsi"/>
                <w:sz w:val="20"/>
                <w:szCs w:val="20"/>
              </w:rPr>
            </w:pPr>
            <w:r>
              <w:rPr>
                <w:rFonts w:asciiTheme="minorHAnsi" w:hAnsiTheme="minorHAnsi" w:cstheme="minorHAnsi"/>
                <w:sz w:val="20"/>
                <w:szCs w:val="20"/>
              </w:rPr>
              <w:t>No financial relationships</w:t>
            </w:r>
          </w:p>
        </w:tc>
        <w:tc>
          <w:tcPr>
            <w:tcW w:w="4703" w:type="dxa"/>
            <w:shd w:val="clear" w:color="auto" w:fill="auto"/>
            <w:vAlign w:val="center"/>
          </w:tcPr>
          <w:p w:rsidR="003C51E5" w:rsidRPr="0056563B" w:rsidRDefault="003C51E5" w:rsidP="003C51E5">
            <w:pPr>
              <w:rPr>
                <w:rFonts w:asciiTheme="minorHAnsi" w:hAnsiTheme="minorHAnsi" w:cstheme="minorHAnsi"/>
                <w:sz w:val="20"/>
                <w:szCs w:val="20"/>
              </w:rPr>
            </w:pPr>
          </w:p>
        </w:tc>
      </w:tr>
      <w:tr w:rsidR="003C51E5" w:rsidRPr="004F7F16" w:rsidTr="0083669C">
        <w:trPr>
          <w:trHeight w:val="539"/>
        </w:trPr>
        <w:tc>
          <w:tcPr>
            <w:tcW w:w="2317" w:type="dxa"/>
            <w:shd w:val="clear" w:color="auto" w:fill="auto"/>
            <w:vAlign w:val="center"/>
          </w:tcPr>
          <w:p w:rsidR="003C51E5" w:rsidRDefault="000417A8" w:rsidP="000417A8">
            <w:pPr>
              <w:rPr>
                <w:rFonts w:asciiTheme="minorHAnsi" w:hAnsiTheme="minorHAnsi" w:cstheme="minorHAnsi"/>
                <w:sz w:val="20"/>
                <w:szCs w:val="20"/>
              </w:rPr>
            </w:pPr>
            <w:r>
              <w:rPr>
                <w:rFonts w:asciiTheme="minorHAnsi" w:hAnsiTheme="minorHAnsi" w:cstheme="minorHAnsi"/>
                <w:sz w:val="20"/>
                <w:szCs w:val="20"/>
              </w:rPr>
              <w:t>Cindy Daniel</w:t>
            </w:r>
          </w:p>
          <w:p w:rsidR="000417A8" w:rsidRPr="0056563B" w:rsidRDefault="000417A8" w:rsidP="000417A8">
            <w:pPr>
              <w:rPr>
                <w:rFonts w:asciiTheme="minorHAnsi" w:hAnsiTheme="minorHAnsi" w:cstheme="minorHAnsi"/>
                <w:sz w:val="20"/>
                <w:szCs w:val="20"/>
              </w:rPr>
            </w:pPr>
            <w:r>
              <w:rPr>
                <w:rFonts w:asciiTheme="minorHAnsi" w:hAnsiTheme="minorHAnsi" w:cstheme="minorHAnsi"/>
                <w:sz w:val="20"/>
                <w:szCs w:val="20"/>
              </w:rPr>
              <w:t>Planner</w:t>
            </w:r>
          </w:p>
        </w:tc>
        <w:tc>
          <w:tcPr>
            <w:tcW w:w="3690" w:type="dxa"/>
            <w:shd w:val="clear" w:color="auto" w:fill="auto"/>
            <w:vAlign w:val="center"/>
          </w:tcPr>
          <w:p w:rsidR="003C51E5" w:rsidRPr="0056563B" w:rsidRDefault="0073147F" w:rsidP="0083669C">
            <w:pPr>
              <w:rPr>
                <w:rFonts w:asciiTheme="minorHAnsi" w:hAnsiTheme="minorHAnsi" w:cstheme="minorHAnsi"/>
                <w:sz w:val="20"/>
                <w:szCs w:val="20"/>
              </w:rPr>
            </w:pPr>
            <w:r>
              <w:rPr>
                <w:rFonts w:asciiTheme="minorHAnsi" w:hAnsiTheme="minorHAnsi" w:cstheme="minorHAnsi"/>
                <w:sz w:val="20"/>
                <w:szCs w:val="20"/>
              </w:rPr>
              <w:t>Grant or Contract (Mul</w:t>
            </w:r>
            <w:r w:rsidR="0083669C">
              <w:rPr>
                <w:rFonts w:asciiTheme="minorHAnsi" w:hAnsiTheme="minorHAnsi" w:cstheme="minorHAnsi"/>
                <w:sz w:val="20"/>
                <w:szCs w:val="20"/>
              </w:rPr>
              <w:t>t</w:t>
            </w:r>
            <w:r>
              <w:rPr>
                <w:rFonts w:asciiTheme="minorHAnsi" w:hAnsiTheme="minorHAnsi" w:cstheme="minorHAnsi"/>
                <w:sz w:val="20"/>
                <w:szCs w:val="20"/>
              </w:rPr>
              <w:t>iple Sclerosis)</w:t>
            </w:r>
          </w:p>
        </w:tc>
        <w:tc>
          <w:tcPr>
            <w:tcW w:w="4703" w:type="dxa"/>
            <w:shd w:val="clear" w:color="auto" w:fill="auto"/>
            <w:vAlign w:val="center"/>
          </w:tcPr>
          <w:p w:rsidR="003C51E5" w:rsidRPr="0056563B" w:rsidRDefault="0073147F" w:rsidP="0073147F">
            <w:pPr>
              <w:rPr>
                <w:rFonts w:asciiTheme="minorHAnsi" w:hAnsiTheme="minorHAnsi" w:cstheme="minorHAnsi"/>
                <w:sz w:val="20"/>
                <w:szCs w:val="20"/>
              </w:rPr>
            </w:pPr>
            <w:r>
              <w:rPr>
                <w:rFonts w:asciiTheme="minorHAnsi" w:hAnsiTheme="minorHAnsi" w:cstheme="minorHAnsi"/>
                <w:sz w:val="20"/>
                <w:szCs w:val="20"/>
              </w:rPr>
              <w:t>Banner Life Science, Biogen, EMD Serono, Genentech, Mallinkrodt, Novartis</w:t>
            </w:r>
          </w:p>
        </w:tc>
      </w:tr>
      <w:tr w:rsidR="003C51E5" w:rsidRPr="004F7F16" w:rsidTr="0083669C">
        <w:trPr>
          <w:trHeight w:val="521"/>
        </w:trPr>
        <w:tc>
          <w:tcPr>
            <w:tcW w:w="2317" w:type="dxa"/>
            <w:shd w:val="clear" w:color="auto" w:fill="auto"/>
            <w:vAlign w:val="center"/>
          </w:tcPr>
          <w:p w:rsidR="003C51E5" w:rsidRDefault="000417A8" w:rsidP="000417A8">
            <w:pPr>
              <w:rPr>
                <w:rFonts w:asciiTheme="minorHAnsi" w:hAnsiTheme="minorHAnsi" w:cstheme="minorHAnsi"/>
                <w:sz w:val="20"/>
                <w:szCs w:val="20"/>
              </w:rPr>
            </w:pPr>
            <w:r>
              <w:rPr>
                <w:rFonts w:asciiTheme="minorHAnsi" w:hAnsiTheme="minorHAnsi" w:cstheme="minorHAnsi"/>
                <w:sz w:val="20"/>
                <w:szCs w:val="20"/>
              </w:rPr>
              <w:t>Mark Vinciguerra</w:t>
            </w:r>
          </w:p>
          <w:p w:rsidR="000417A8" w:rsidRPr="0056563B" w:rsidRDefault="000417A8" w:rsidP="000417A8">
            <w:pPr>
              <w:rPr>
                <w:rFonts w:asciiTheme="minorHAnsi" w:hAnsiTheme="minorHAnsi" w:cstheme="minorHAnsi"/>
                <w:sz w:val="20"/>
                <w:szCs w:val="20"/>
              </w:rPr>
            </w:pPr>
            <w:r>
              <w:rPr>
                <w:rFonts w:asciiTheme="minorHAnsi" w:hAnsiTheme="minorHAnsi" w:cstheme="minorHAnsi"/>
                <w:sz w:val="20"/>
                <w:szCs w:val="20"/>
              </w:rPr>
              <w:t>CME Coordinator</w:t>
            </w:r>
          </w:p>
        </w:tc>
        <w:tc>
          <w:tcPr>
            <w:tcW w:w="3690" w:type="dxa"/>
            <w:shd w:val="clear" w:color="auto" w:fill="auto"/>
            <w:vAlign w:val="center"/>
          </w:tcPr>
          <w:p w:rsidR="003C51E5" w:rsidRPr="0056563B" w:rsidRDefault="00BA2F93" w:rsidP="0056563B">
            <w:pPr>
              <w:rPr>
                <w:rFonts w:asciiTheme="minorHAnsi" w:hAnsiTheme="minorHAnsi" w:cstheme="minorHAnsi"/>
                <w:sz w:val="20"/>
                <w:szCs w:val="20"/>
              </w:rPr>
            </w:pPr>
            <w:r>
              <w:rPr>
                <w:rFonts w:asciiTheme="minorHAnsi" w:hAnsiTheme="minorHAnsi" w:cstheme="minorHAnsi"/>
                <w:sz w:val="20"/>
                <w:szCs w:val="20"/>
              </w:rPr>
              <w:t>No financial r</w:t>
            </w:r>
            <w:r w:rsidR="000417A8">
              <w:rPr>
                <w:rFonts w:asciiTheme="minorHAnsi" w:hAnsiTheme="minorHAnsi" w:cstheme="minorHAnsi"/>
                <w:sz w:val="20"/>
                <w:szCs w:val="20"/>
              </w:rPr>
              <w:t>elationships</w:t>
            </w:r>
          </w:p>
        </w:tc>
        <w:tc>
          <w:tcPr>
            <w:tcW w:w="4703" w:type="dxa"/>
            <w:shd w:val="clear" w:color="auto" w:fill="auto"/>
            <w:vAlign w:val="center"/>
          </w:tcPr>
          <w:p w:rsidR="003C51E5" w:rsidRPr="0056563B" w:rsidRDefault="003C51E5" w:rsidP="003C51E5">
            <w:pPr>
              <w:rPr>
                <w:rFonts w:asciiTheme="minorHAnsi" w:hAnsiTheme="minorHAnsi" w:cstheme="minorHAnsi"/>
                <w:sz w:val="20"/>
                <w:szCs w:val="20"/>
              </w:rPr>
            </w:pPr>
          </w:p>
        </w:tc>
      </w:tr>
    </w:tbl>
    <w:p w:rsidR="000417A8" w:rsidRDefault="000417A8" w:rsidP="000B15F9">
      <w:pPr>
        <w:rPr>
          <w:rFonts w:asciiTheme="minorHAnsi" w:hAnsiTheme="minorHAnsi" w:cs="GillSans-Bold"/>
          <w:b/>
          <w:bCs/>
          <w:i/>
          <w:sz w:val="22"/>
          <w:szCs w:val="22"/>
        </w:rPr>
      </w:pPr>
    </w:p>
    <w:p w:rsidR="008128CC" w:rsidRPr="0056563B" w:rsidRDefault="0056563B" w:rsidP="000B15F9">
      <w:pPr>
        <w:rPr>
          <w:rFonts w:asciiTheme="minorHAnsi" w:hAnsiTheme="minorHAnsi" w:cs="GillSans-Bold"/>
          <w:b/>
          <w:bCs/>
          <w:i/>
          <w:sz w:val="22"/>
          <w:szCs w:val="22"/>
        </w:rPr>
      </w:pPr>
      <w:r w:rsidRPr="0056563B">
        <w:rPr>
          <w:rFonts w:asciiTheme="minorHAnsi" w:hAnsiTheme="minorHAnsi" w:cs="GillSans-Bold"/>
          <w:b/>
          <w:bCs/>
          <w:i/>
          <w:sz w:val="22"/>
          <w:szCs w:val="22"/>
        </w:rPr>
        <w:t>*Employees of ACCME-defined ineligible companies can participate as faculty in accredited CME activities when the content of the activity</w:t>
      </w:r>
      <w:r w:rsidR="00E64976">
        <w:rPr>
          <w:rFonts w:asciiTheme="minorHAnsi" w:hAnsiTheme="minorHAnsi" w:cs="GillSans-Bold"/>
          <w:b/>
          <w:bCs/>
          <w:i/>
          <w:sz w:val="22"/>
          <w:szCs w:val="22"/>
        </w:rPr>
        <w:t>/presentation</w:t>
      </w:r>
      <w:r w:rsidRPr="0056563B">
        <w:rPr>
          <w:rFonts w:asciiTheme="minorHAnsi" w:hAnsiTheme="minorHAnsi" w:cs="GillSans-Bold"/>
          <w:b/>
          <w:bCs/>
          <w:i/>
          <w:sz w:val="22"/>
          <w:szCs w:val="22"/>
        </w:rPr>
        <w:t xml:space="preserve"> is not related to the business lines or products of their employer/company.</w:t>
      </w:r>
    </w:p>
    <w:p w:rsidR="0036375B" w:rsidRPr="004F7F16" w:rsidRDefault="0036375B" w:rsidP="00184124">
      <w:pPr>
        <w:rPr>
          <w:rFonts w:asciiTheme="minorHAnsi" w:hAnsiTheme="minorHAnsi"/>
          <w:b/>
          <w:sz w:val="20"/>
          <w:szCs w:val="18"/>
        </w:rPr>
      </w:pPr>
    </w:p>
    <w:p w:rsidR="000B7D55" w:rsidRDefault="000B7D55" w:rsidP="0036375B">
      <w:pPr>
        <w:spacing w:after="120"/>
        <w:jc w:val="center"/>
        <w:rPr>
          <w:rFonts w:asciiTheme="minorHAnsi" w:hAnsiTheme="minorHAnsi" w:cs="GillSans-Bold"/>
          <w:b/>
          <w:bCs/>
          <w:sz w:val="28"/>
          <w:szCs w:val="22"/>
        </w:rPr>
      </w:pPr>
    </w:p>
    <w:p w:rsidR="00184124" w:rsidRPr="004F7F16" w:rsidRDefault="00184124" w:rsidP="0036375B">
      <w:pPr>
        <w:spacing w:after="120"/>
        <w:jc w:val="center"/>
        <w:rPr>
          <w:rFonts w:asciiTheme="minorHAnsi" w:hAnsiTheme="minorHAnsi" w:cs="GillSans-Bold"/>
          <w:b/>
          <w:bCs/>
          <w:sz w:val="28"/>
          <w:szCs w:val="22"/>
        </w:rPr>
      </w:pPr>
      <w:r w:rsidRPr="004F7F16">
        <w:rPr>
          <w:rFonts w:asciiTheme="minorHAnsi" w:hAnsiTheme="minorHAnsi" w:cs="GillSans-Bold"/>
          <w:b/>
          <w:bCs/>
          <w:sz w:val="28"/>
          <w:szCs w:val="22"/>
        </w:rPr>
        <w:t>GENERAL INFORMATION</w:t>
      </w:r>
    </w:p>
    <w:p w:rsidR="008128CC" w:rsidRPr="004F7F16" w:rsidRDefault="008128CC" w:rsidP="00184124">
      <w:pPr>
        <w:rPr>
          <w:rFonts w:asciiTheme="minorHAnsi" w:hAnsiTheme="minorHAnsi"/>
          <w:b/>
          <w:sz w:val="20"/>
          <w:szCs w:val="18"/>
        </w:rPr>
      </w:pPr>
    </w:p>
    <w:p w:rsidR="00184124" w:rsidRPr="004F7F16" w:rsidRDefault="007F7AF4" w:rsidP="00184124">
      <w:pPr>
        <w:rPr>
          <w:rFonts w:asciiTheme="minorHAnsi" w:hAnsiTheme="minorHAnsi" w:cs="GillSans-Bold"/>
          <w:b/>
          <w:bCs/>
          <w:caps/>
          <w:szCs w:val="22"/>
        </w:rPr>
      </w:pPr>
      <w:r w:rsidRPr="004F7F16">
        <w:rPr>
          <w:rFonts w:asciiTheme="minorHAnsi" w:hAnsiTheme="minorHAnsi" w:cs="GillSans-Bold"/>
          <w:b/>
          <w:bCs/>
          <w:caps/>
          <w:szCs w:val="22"/>
        </w:rPr>
        <w:t>CME/Attendance Certificates AND Evaluation</w:t>
      </w:r>
    </w:p>
    <w:p w:rsidR="000B7D55" w:rsidRDefault="000B7D55" w:rsidP="0056563B">
      <w:pPr>
        <w:spacing w:after="120"/>
        <w:jc w:val="both"/>
        <w:rPr>
          <w:rFonts w:asciiTheme="minorHAnsi" w:hAnsiTheme="minorHAnsi" w:cstheme="minorHAnsi"/>
          <w:sz w:val="20"/>
          <w:szCs w:val="20"/>
        </w:rPr>
      </w:pPr>
      <w:r w:rsidRPr="000B7D55">
        <w:rPr>
          <w:rFonts w:asciiTheme="minorHAnsi" w:hAnsiTheme="minorHAnsi" w:cstheme="minorHAnsi"/>
          <w:sz w:val="20"/>
          <w:szCs w:val="20"/>
        </w:rPr>
        <w:t>CME Certificates (Physicians) and Certificates of Attendance (Non-Physicians) are available online after the electronic evaluation is completed.  This evaluation is an important tool for assessing the effectiveness of this activity as well as f</w:t>
      </w:r>
      <w:r>
        <w:rPr>
          <w:rFonts w:asciiTheme="minorHAnsi" w:hAnsiTheme="minorHAnsi" w:cstheme="minorHAnsi"/>
          <w:sz w:val="20"/>
          <w:szCs w:val="20"/>
        </w:rPr>
        <w:t>or planning future activities.</w:t>
      </w:r>
    </w:p>
    <w:p w:rsidR="000B7D55" w:rsidRDefault="000B7D55" w:rsidP="0056563B">
      <w:pPr>
        <w:spacing w:after="120"/>
        <w:jc w:val="both"/>
        <w:rPr>
          <w:rFonts w:asciiTheme="minorHAnsi" w:hAnsiTheme="minorHAnsi" w:cstheme="minorHAnsi"/>
          <w:sz w:val="20"/>
          <w:szCs w:val="20"/>
        </w:rPr>
      </w:pPr>
      <w:r w:rsidRPr="000B7D55">
        <w:rPr>
          <w:rFonts w:asciiTheme="minorHAnsi" w:hAnsiTheme="minorHAnsi" w:cstheme="minorHAnsi"/>
          <w:sz w:val="20"/>
          <w:szCs w:val="20"/>
        </w:rPr>
        <w:t>Within two weeks, all attendees will receive an email with a link to access the evaluation</w:t>
      </w:r>
      <w:r>
        <w:rPr>
          <w:rFonts w:asciiTheme="minorHAnsi" w:hAnsiTheme="minorHAnsi" w:cstheme="minorHAnsi"/>
          <w:sz w:val="20"/>
          <w:szCs w:val="20"/>
        </w:rPr>
        <w:t xml:space="preserve"> and additional instructions</w:t>
      </w:r>
      <w:r w:rsidRPr="000B7D55">
        <w:rPr>
          <w:rFonts w:asciiTheme="minorHAnsi" w:hAnsiTheme="minorHAnsi" w:cstheme="minorHAnsi"/>
          <w:sz w:val="20"/>
          <w:szCs w:val="20"/>
        </w:rPr>
        <w:t>. Once the evaluation is completed, attend</w:t>
      </w:r>
      <w:r>
        <w:rPr>
          <w:rFonts w:asciiTheme="minorHAnsi" w:hAnsiTheme="minorHAnsi" w:cstheme="minorHAnsi"/>
          <w:sz w:val="20"/>
          <w:szCs w:val="20"/>
        </w:rPr>
        <w:t xml:space="preserve">ees </w:t>
      </w:r>
      <w:r w:rsidRPr="000B7D55">
        <w:rPr>
          <w:rFonts w:asciiTheme="minorHAnsi" w:hAnsiTheme="minorHAnsi" w:cstheme="minorHAnsi"/>
          <w:sz w:val="20"/>
          <w:szCs w:val="20"/>
        </w:rPr>
        <w:t>can claim credit (CME, Attendance</w:t>
      </w:r>
      <w:r>
        <w:rPr>
          <w:rFonts w:asciiTheme="minorHAnsi" w:hAnsiTheme="minorHAnsi" w:cstheme="minorHAnsi"/>
          <w:sz w:val="20"/>
          <w:szCs w:val="20"/>
        </w:rPr>
        <w:t>)</w:t>
      </w:r>
      <w:r w:rsidRPr="000B7D55">
        <w:rPr>
          <w:rFonts w:asciiTheme="minorHAnsi" w:hAnsiTheme="minorHAnsi" w:cstheme="minorHAnsi"/>
          <w:sz w:val="20"/>
          <w:szCs w:val="20"/>
        </w:rPr>
        <w:t xml:space="preserve"> and view/download/print certificate.</w:t>
      </w:r>
    </w:p>
    <w:p w:rsidR="007F7AF4" w:rsidRPr="000B7D55" w:rsidRDefault="007F7AF4" w:rsidP="0056563B">
      <w:pPr>
        <w:spacing w:after="120"/>
        <w:jc w:val="both"/>
        <w:rPr>
          <w:rFonts w:asciiTheme="minorHAnsi" w:hAnsiTheme="minorHAnsi" w:cstheme="minorHAnsi"/>
          <w:sz w:val="20"/>
          <w:szCs w:val="20"/>
        </w:rPr>
      </w:pPr>
      <w:r w:rsidRPr="000B7D55">
        <w:rPr>
          <w:rFonts w:asciiTheme="minorHAnsi" w:hAnsiTheme="minorHAnsi" w:cstheme="minorHAnsi"/>
          <w:sz w:val="20"/>
          <w:szCs w:val="20"/>
        </w:rPr>
        <w:t xml:space="preserve">An account </w:t>
      </w:r>
      <w:r w:rsidRPr="000B7D55">
        <w:rPr>
          <w:rFonts w:asciiTheme="minorHAnsi" w:hAnsiTheme="minorHAnsi" w:cstheme="minorHAnsi"/>
          <w:b/>
          <w:i/>
          <w:sz w:val="20"/>
          <w:szCs w:val="20"/>
        </w:rPr>
        <w:t>must</w:t>
      </w:r>
      <w:r w:rsidRPr="000B7D55">
        <w:rPr>
          <w:rFonts w:asciiTheme="minorHAnsi" w:hAnsiTheme="minorHAnsi" w:cstheme="minorHAnsi"/>
          <w:sz w:val="20"/>
          <w:szCs w:val="20"/>
        </w:rPr>
        <w:t xml:space="preserve"> be created at </w:t>
      </w:r>
      <w:r w:rsidRPr="000B7D55">
        <w:rPr>
          <w:rFonts w:asciiTheme="minorHAnsi" w:hAnsiTheme="minorHAnsi" w:cstheme="minorHAnsi"/>
          <w:sz w:val="20"/>
          <w:szCs w:val="20"/>
          <w:u w:val="single"/>
        </w:rPr>
        <w:t>cme.utsouthwestern.edu</w:t>
      </w:r>
      <w:r w:rsidRPr="000B7D55">
        <w:rPr>
          <w:rFonts w:asciiTheme="minorHAnsi" w:hAnsiTheme="minorHAnsi" w:cstheme="minorHAnsi"/>
          <w:sz w:val="20"/>
          <w:szCs w:val="20"/>
        </w:rPr>
        <w:t xml:space="preserve"> in order to claim/view credit. Instructions are attached for creating this profile. </w:t>
      </w:r>
    </w:p>
    <w:p w:rsidR="008128CC" w:rsidRPr="004F7F16" w:rsidRDefault="008128CC" w:rsidP="00184124">
      <w:pPr>
        <w:rPr>
          <w:rFonts w:asciiTheme="minorHAnsi" w:hAnsiTheme="minorHAnsi"/>
          <w:b/>
          <w:sz w:val="20"/>
          <w:szCs w:val="19"/>
        </w:rPr>
      </w:pPr>
    </w:p>
    <w:p w:rsidR="00184124" w:rsidRPr="004F7F16" w:rsidRDefault="00184124" w:rsidP="00184124">
      <w:pPr>
        <w:rPr>
          <w:rFonts w:asciiTheme="minorHAnsi" w:hAnsiTheme="minorHAnsi" w:cs="GillSans-Bold"/>
          <w:b/>
          <w:bCs/>
          <w:caps/>
          <w:szCs w:val="22"/>
        </w:rPr>
      </w:pPr>
      <w:r w:rsidRPr="004F7F16">
        <w:rPr>
          <w:rFonts w:asciiTheme="minorHAnsi" w:hAnsiTheme="minorHAnsi" w:cs="GillSans-Bold"/>
          <w:b/>
          <w:bCs/>
          <w:caps/>
          <w:szCs w:val="22"/>
        </w:rPr>
        <w:t>Disclaimer</w:t>
      </w:r>
    </w:p>
    <w:p w:rsidR="00184124" w:rsidRPr="0056563B" w:rsidRDefault="00184124" w:rsidP="0056563B">
      <w:pPr>
        <w:spacing w:after="120"/>
        <w:jc w:val="both"/>
        <w:rPr>
          <w:rFonts w:asciiTheme="minorHAnsi" w:hAnsiTheme="minorHAnsi"/>
          <w:sz w:val="20"/>
          <w:szCs w:val="20"/>
        </w:rPr>
      </w:pPr>
      <w:r w:rsidRPr="0056563B">
        <w:rPr>
          <w:rFonts w:asciiTheme="minorHAnsi" w:hAnsiTheme="minorHAnsi"/>
          <w:sz w:val="20"/>
          <w:szCs w:val="20"/>
        </w:rPr>
        <w:t>The University of Texas South</w:t>
      </w:r>
      <w:r w:rsidR="009F66C2" w:rsidRPr="0056563B">
        <w:rPr>
          <w:rFonts w:asciiTheme="minorHAnsi" w:hAnsiTheme="minorHAnsi"/>
          <w:sz w:val="20"/>
          <w:szCs w:val="20"/>
        </w:rPr>
        <w:t>western Medical Center</w:t>
      </w:r>
      <w:r w:rsidRPr="0056563B">
        <w:rPr>
          <w:rFonts w:asciiTheme="minorHAnsi" w:hAnsiTheme="minorHAnsi"/>
          <w:sz w:val="20"/>
          <w:szCs w:val="20"/>
        </w:rPr>
        <w:t xml:space="preserve"> </w:t>
      </w:r>
      <w:r w:rsidR="000B7D55">
        <w:rPr>
          <w:rFonts w:asciiTheme="minorHAnsi" w:hAnsiTheme="minorHAnsi"/>
          <w:sz w:val="20"/>
          <w:szCs w:val="20"/>
        </w:rPr>
        <w:t xml:space="preserve">and Free2Care </w:t>
      </w:r>
      <w:r w:rsidRPr="0056563B">
        <w:rPr>
          <w:rFonts w:asciiTheme="minorHAnsi" w:hAnsiTheme="minorHAnsi"/>
          <w:sz w:val="20"/>
          <w:szCs w:val="20"/>
        </w:rPr>
        <w:t>present this activity for educational purposes only. Participants are expected to use their own expertise and judgment while engaged in the practice of medicine. Please consult full prescribing information for any drugs or procedures discussed within.</w:t>
      </w:r>
    </w:p>
    <w:p w:rsidR="00184124" w:rsidRPr="0056563B" w:rsidRDefault="00184124" w:rsidP="0061540D">
      <w:pPr>
        <w:jc w:val="both"/>
        <w:rPr>
          <w:rFonts w:asciiTheme="minorHAnsi" w:hAnsiTheme="minorHAnsi"/>
          <w:sz w:val="20"/>
          <w:szCs w:val="20"/>
        </w:rPr>
      </w:pPr>
      <w:r w:rsidRPr="0056563B">
        <w:rPr>
          <w:rFonts w:asciiTheme="minorHAnsi" w:hAnsiTheme="minorHAnsi"/>
          <w:sz w:val="20"/>
          <w:szCs w:val="20"/>
        </w:rPr>
        <w:t>The views and opinions expressed in this publication are those of the authors and do not necessarily reflect the views of the sponsor, supporter, or publisher. Although great care has been taken in compiling and checking the information given in this publication to ensure accuracy, the authors</w:t>
      </w:r>
      <w:r w:rsidR="001F026D" w:rsidRPr="0056563B">
        <w:rPr>
          <w:rFonts w:asciiTheme="minorHAnsi" w:hAnsiTheme="minorHAnsi"/>
          <w:sz w:val="20"/>
          <w:szCs w:val="20"/>
        </w:rPr>
        <w:t xml:space="preserve">, </w:t>
      </w:r>
      <w:r w:rsidR="000B7D55">
        <w:rPr>
          <w:rFonts w:asciiTheme="minorHAnsi" w:hAnsiTheme="minorHAnsi"/>
          <w:sz w:val="20"/>
          <w:szCs w:val="20"/>
        </w:rPr>
        <w:t xml:space="preserve">Free2Care, and </w:t>
      </w:r>
      <w:r w:rsidRPr="0056563B">
        <w:rPr>
          <w:rFonts w:asciiTheme="minorHAnsi" w:hAnsiTheme="minorHAnsi"/>
          <w:sz w:val="20"/>
          <w:szCs w:val="20"/>
        </w:rPr>
        <w:t>The University of Texas South</w:t>
      </w:r>
      <w:r w:rsidR="009F66C2" w:rsidRPr="0056563B">
        <w:rPr>
          <w:rFonts w:asciiTheme="minorHAnsi" w:hAnsiTheme="minorHAnsi"/>
          <w:sz w:val="20"/>
          <w:szCs w:val="20"/>
        </w:rPr>
        <w:t>western Medical Center</w:t>
      </w:r>
      <w:r w:rsidRPr="0056563B">
        <w:rPr>
          <w:rFonts w:asciiTheme="minorHAnsi" w:hAnsiTheme="minorHAnsi"/>
          <w:sz w:val="20"/>
          <w:szCs w:val="20"/>
        </w:rPr>
        <w:t xml:space="preserve"> and its servants or agents shall not be responsible or in any way liable for the continued currency of the information or for any errors, omissions, or inaccuracies i</w:t>
      </w:r>
      <w:r w:rsidR="006E0819" w:rsidRPr="0056563B">
        <w:rPr>
          <w:rFonts w:asciiTheme="minorHAnsi" w:hAnsiTheme="minorHAnsi"/>
          <w:sz w:val="20"/>
          <w:szCs w:val="20"/>
        </w:rPr>
        <w:t>n this publication</w:t>
      </w:r>
      <w:r w:rsidRPr="0056563B">
        <w:rPr>
          <w:rFonts w:asciiTheme="minorHAnsi" w:hAnsiTheme="minorHAnsi"/>
          <w:sz w:val="20"/>
          <w:szCs w:val="20"/>
        </w:rPr>
        <w:t xml:space="preserve">. </w:t>
      </w:r>
    </w:p>
    <w:sectPr w:rsidR="00184124" w:rsidRPr="0056563B" w:rsidSect="005944A8">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0" w:left="72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3AB" w:rsidRDefault="00E333AB" w:rsidP="006B6C70">
      <w:r>
        <w:separator/>
      </w:r>
    </w:p>
  </w:endnote>
  <w:endnote w:type="continuationSeparator" w:id="0">
    <w:p w:rsidR="00E333AB" w:rsidRDefault="00E333AB" w:rsidP="006B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A8" w:rsidRDefault="00594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A8" w:rsidRDefault="00594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A8" w:rsidRDefault="00594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3AB" w:rsidRDefault="00E333AB" w:rsidP="006B6C70">
      <w:r>
        <w:separator/>
      </w:r>
    </w:p>
  </w:footnote>
  <w:footnote w:type="continuationSeparator" w:id="0">
    <w:p w:rsidR="00E333AB" w:rsidRDefault="00E333AB" w:rsidP="006B6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A8" w:rsidRDefault="00594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A8" w:rsidRDefault="00594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A8" w:rsidRDefault="00594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3E2D"/>
    <w:multiLevelType w:val="hybridMultilevel"/>
    <w:tmpl w:val="00E4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C3DDC"/>
    <w:multiLevelType w:val="hybridMultilevel"/>
    <w:tmpl w:val="A7FE3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45F68"/>
    <w:multiLevelType w:val="hybridMultilevel"/>
    <w:tmpl w:val="DAE4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069DD"/>
    <w:multiLevelType w:val="hybridMultilevel"/>
    <w:tmpl w:val="26B4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F6631"/>
    <w:multiLevelType w:val="hybridMultilevel"/>
    <w:tmpl w:val="458C68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003F3C"/>
    <w:multiLevelType w:val="hybridMultilevel"/>
    <w:tmpl w:val="4290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F2CAB"/>
    <w:multiLevelType w:val="hybridMultilevel"/>
    <w:tmpl w:val="BDEA390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 w15:restartNumberingAfterBreak="0">
    <w:nsid w:val="654606A3"/>
    <w:multiLevelType w:val="hybridMultilevel"/>
    <w:tmpl w:val="B33C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A00A24"/>
    <w:multiLevelType w:val="hybridMultilevel"/>
    <w:tmpl w:val="918A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FD4F17"/>
    <w:multiLevelType w:val="hybridMultilevel"/>
    <w:tmpl w:val="CCA2F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7660EF"/>
    <w:multiLevelType w:val="hybridMultilevel"/>
    <w:tmpl w:val="1D300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F6C1A"/>
    <w:multiLevelType w:val="hybridMultilevel"/>
    <w:tmpl w:val="D0CE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9B0909"/>
    <w:multiLevelType w:val="hybridMultilevel"/>
    <w:tmpl w:val="89BE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A20DB"/>
    <w:multiLevelType w:val="hybridMultilevel"/>
    <w:tmpl w:val="2E86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4"/>
  </w:num>
  <w:num w:numId="4">
    <w:abstractNumId w:val="1"/>
  </w:num>
  <w:num w:numId="5">
    <w:abstractNumId w:val="13"/>
  </w:num>
  <w:num w:numId="6">
    <w:abstractNumId w:val="10"/>
  </w:num>
  <w:num w:numId="7">
    <w:abstractNumId w:val="9"/>
  </w:num>
  <w:num w:numId="8">
    <w:abstractNumId w:val="6"/>
  </w:num>
  <w:num w:numId="9">
    <w:abstractNumId w:val="8"/>
  </w:num>
  <w:num w:numId="10">
    <w:abstractNumId w:val="0"/>
  </w:num>
  <w:num w:numId="11">
    <w:abstractNumId w:val="5"/>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80"/>
    <w:rsid w:val="000018C6"/>
    <w:rsid w:val="00001B81"/>
    <w:rsid w:val="00010D87"/>
    <w:rsid w:val="000414D7"/>
    <w:rsid w:val="000417A8"/>
    <w:rsid w:val="00041B5D"/>
    <w:rsid w:val="000430B4"/>
    <w:rsid w:val="00047B31"/>
    <w:rsid w:val="000531AD"/>
    <w:rsid w:val="00060101"/>
    <w:rsid w:val="0006034E"/>
    <w:rsid w:val="00073613"/>
    <w:rsid w:val="00073E6F"/>
    <w:rsid w:val="00077847"/>
    <w:rsid w:val="0009436F"/>
    <w:rsid w:val="00096B3A"/>
    <w:rsid w:val="00096E4F"/>
    <w:rsid w:val="000A1772"/>
    <w:rsid w:val="000A3ECC"/>
    <w:rsid w:val="000B15F9"/>
    <w:rsid w:val="000B5B43"/>
    <w:rsid w:val="000B644B"/>
    <w:rsid w:val="000B7D55"/>
    <w:rsid w:val="000C35A3"/>
    <w:rsid w:val="000C660C"/>
    <w:rsid w:val="000C73D0"/>
    <w:rsid w:val="000E2A27"/>
    <w:rsid w:val="000E4BC6"/>
    <w:rsid w:val="000E615D"/>
    <w:rsid w:val="00107725"/>
    <w:rsid w:val="00111CF2"/>
    <w:rsid w:val="00130F9B"/>
    <w:rsid w:val="00131048"/>
    <w:rsid w:val="00135540"/>
    <w:rsid w:val="00144141"/>
    <w:rsid w:val="00145167"/>
    <w:rsid w:val="0016642E"/>
    <w:rsid w:val="001802FF"/>
    <w:rsid w:val="00182745"/>
    <w:rsid w:val="00184124"/>
    <w:rsid w:val="0019481F"/>
    <w:rsid w:val="001B7E98"/>
    <w:rsid w:val="001C0D90"/>
    <w:rsid w:val="001C2FE3"/>
    <w:rsid w:val="001C5C19"/>
    <w:rsid w:val="001D4038"/>
    <w:rsid w:val="001E0D49"/>
    <w:rsid w:val="001E0DFB"/>
    <w:rsid w:val="001E4CC3"/>
    <w:rsid w:val="001E72B6"/>
    <w:rsid w:val="001F026D"/>
    <w:rsid w:val="001F4136"/>
    <w:rsid w:val="001F4919"/>
    <w:rsid w:val="001F6184"/>
    <w:rsid w:val="00200D34"/>
    <w:rsid w:val="002045E4"/>
    <w:rsid w:val="00210130"/>
    <w:rsid w:val="002126DA"/>
    <w:rsid w:val="00212C0A"/>
    <w:rsid w:val="00220C9A"/>
    <w:rsid w:val="00221EA1"/>
    <w:rsid w:val="00227DFD"/>
    <w:rsid w:val="002366CB"/>
    <w:rsid w:val="0023724F"/>
    <w:rsid w:val="00251D7D"/>
    <w:rsid w:val="00252578"/>
    <w:rsid w:val="00252CDF"/>
    <w:rsid w:val="002601A9"/>
    <w:rsid w:val="00261A82"/>
    <w:rsid w:val="002625BF"/>
    <w:rsid w:val="002644C0"/>
    <w:rsid w:val="002652B1"/>
    <w:rsid w:val="0027046D"/>
    <w:rsid w:val="00274A4C"/>
    <w:rsid w:val="00274F37"/>
    <w:rsid w:val="00275AC0"/>
    <w:rsid w:val="00282A23"/>
    <w:rsid w:val="00287060"/>
    <w:rsid w:val="0029599D"/>
    <w:rsid w:val="002A6347"/>
    <w:rsid w:val="002C0790"/>
    <w:rsid w:val="002C4460"/>
    <w:rsid w:val="002F107B"/>
    <w:rsid w:val="00300206"/>
    <w:rsid w:val="0031170C"/>
    <w:rsid w:val="00311ED6"/>
    <w:rsid w:val="00312E8F"/>
    <w:rsid w:val="00314B1F"/>
    <w:rsid w:val="0032780F"/>
    <w:rsid w:val="00341517"/>
    <w:rsid w:val="0034352F"/>
    <w:rsid w:val="003548FC"/>
    <w:rsid w:val="0036375B"/>
    <w:rsid w:val="00384F4C"/>
    <w:rsid w:val="003862E4"/>
    <w:rsid w:val="003C51E5"/>
    <w:rsid w:val="003C53E5"/>
    <w:rsid w:val="003D1967"/>
    <w:rsid w:val="003D3620"/>
    <w:rsid w:val="003E25D2"/>
    <w:rsid w:val="003E5890"/>
    <w:rsid w:val="003E5C33"/>
    <w:rsid w:val="003E5CE4"/>
    <w:rsid w:val="00407592"/>
    <w:rsid w:val="004121C3"/>
    <w:rsid w:val="0041277D"/>
    <w:rsid w:val="0042077E"/>
    <w:rsid w:val="00421D0D"/>
    <w:rsid w:val="0045775F"/>
    <w:rsid w:val="00461F20"/>
    <w:rsid w:val="0046242C"/>
    <w:rsid w:val="00465D45"/>
    <w:rsid w:val="00467789"/>
    <w:rsid w:val="00482235"/>
    <w:rsid w:val="00491E76"/>
    <w:rsid w:val="004A4710"/>
    <w:rsid w:val="004B7CFF"/>
    <w:rsid w:val="004C25AA"/>
    <w:rsid w:val="004C3676"/>
    <w:rsid w:val="004D7D9D"/>
    <w:rsid w:val="004E0DB9"/>
    <w:rsid w:val="004E1E2F"/>
    <w:rsid w:val="004E2F2A"/>
    <w:rsid w:val="004E39B8"/>
    <w:rsid w:val="004E666C"/>
    <w:rsid w:val="004E6EF6"/>
    <w:rsid w:val="004F035A"/>
    <w:rsid w:val="004F1952"/>
    <w:rsid w:val="004F71C1"/>
    <w:rsid w:val="004F7F16"/>
    <w:rsid w:val="0051126E"/>
    <w:rsid w:val="00523FBD"/>
    <w:rsid w:val="00525DFE"/>
    <w:rsid w:val="00531FBB"/>
    <w:rsid w:val="00542FEF"/>
    <w:rsid w:val="00553140"/>
    <w:rsid w:val="00554924"/>
    <w:rsid w:val="00557EC1"/>
    <w:rsid w:val="00565504"/>
    <w:rsid w:val="0056563B"/>
    <w:rsid w:val="00575AD6"/>
    <w:rsid w:val="00577B9D"/>
    <w:rsid w:val="00585AB6"/>
    <w:rsid w:val="00587955"/>
    <w:rsid w:val="005944A8"/>
    <w:rsid w:val="0059690C"/>
    <w:rsid w:val="005B4064"/>
    <w:rsid w:val="005D7CFB"/>
    <w:rsid w:val="005E04DA"/>
    <w:rsid w:val="005E41AB"/>
    <w:rsid w:val="005E6DCE"/>
    <w:rsid w:val="005F0CFB"/>
    <w:rsid w:val="005F712C"/>
    <w:rsid w:val="005F7632"/>
    <w:rsid w:val="0061540D"/>
    <w:rsid w:val="00616EC6"/>
    <w:rsid w:val="00617720"/>
    <w:rsid w:val="00620AB6"/>
    <w:rsid w:val="00642365"/>
    <w:rsid w:val="00644D30"/>
    <w:rsid w:val="00657898"/>
    <w:rsid w:val="0066433E"/>
    <w:rsid w:val="006646D4"/>
    <w:rsid w:val="00665BD5"/>
    <w:rsid w:val="00665EBE"/>
    <w:rsid w:val="006768E1"/>
    <w:rsid w:val="00677764"/>
    <w:rsid w:val="006873A5"/>
    <w:rsid w:val="006964B4"/>
    <w:rsid w:val="00697CE6"/>
    <w:rsid w:val="006A1963"/>
    <w:rsid w:val="006B1F4E"/>
    <w:rsid w:val="006B6C70"/>
    <w:rsid w:val="006C1F7A"/>
    <w:rsid w:val="006C33C6"/>
    <w:rsid w:val="006D10A4"/>
    <w:rsid w:val="006D1382"/>
    <w:rsid w:val="006D26A5"/>
    <w:rsid w:val="006D2C58"/>
    <w:rsid w:val="006D667C"/>
    <w:rsid w:val="006D7F60"/>
    <w:rsid w:val="006E0819"/>
    <w:rsid w:val="006E1BEF"/>
    <w:rsid w:val="006E52BA"/>
    <w:rsid w:val="006E74E5"/>
    <w:rsid w:val="0070747B"/>
    <w:rsid w:val="007129F1"/>
    <w:rsid w:val="00712E51"/>
    <w:rsid w:val="00712FD6"/>
    <w:rsid w:val="00713893"/>
    <w:rsid w:val="00713DE7"/>
    <w:rsid w:val="00721CE0"/>
    <w:rsid w:val="00722C29"/>
    <w:rsid w:val="00727BE8"/>
    <w:rsid w:val="00730F97"/>
    <w:rsid w:val="0073147F"/>
    <w:rsid w:val="007316BB"/>
    <w:rsid w:val="00731FD3"/>
    <w:rsid w:val="0074055F"/>
    <w:rsid w:val="0075175D"/>
    <w:rsid w:val="00754631"/>
    <w:rsid w:val="00754CC0"/>
    <w:rsid w:val="00760123"/>
    <w:rsid w:val="00763A16"/>
    <w:rsid w:val="007672FC"/>
    <w:rsid w:val="00767D86"/>
    <w:rsid w:val="007801F5"/>
    <w:rsid w:val="00786D9A"/>
    <w:rsid w:val="007A0E6C"/>
    <w:rsid w:val="007A23A2"/>
    <w:rsid w:val="007A77FA"/>
    <w:rsid w:val="007C1F4F"/>
    <w:rsid w:val="007C4FA8"/>
    <w:rsid w:val="007C4FD0"/>
    <w:rsid w:val="007D5037"/>
    <w:rsid w:val="007D6CDA"/>
    <w:rsid w:val="007E0390"/>
    <w:rsid w:val="007F6A60"/>
    <w:rsid w:val="007F72F8"/>
    <w:rsid w:val="007F7AF4"/>
    <w:rsid w:val="0080708D"/>
    <w:rsid w:val="008128CC"/>
    <w:rsid w:val="00816B1B"/>
    <w:rsid w:val="008248FB"/>
    <w:rsid w:val="00833E79"/>
    <w:rsid w:val="008343BB"/>
    <w:rsid w:val="00834DBB"/>
    <w:rsid w:val="00835D6A"/>
    <w:rsid w:val="0083669C"/>
    <w:rsid w:val="008455EF"/>
    <w:rsid w:val="00846BBA"/>
    <w:rsid w:val="00857E98"/>
    <w:rsid w:val="008619B6"/>
    <w:rsid w:val="008641E2"/>
    <w:rsid w:val="00864EA3"/>
    <w:rsid w:val="00865664"/>
    <w:rsid w:val="0086743F"/>
    <w:rsid w:val="00871664"/>
    <w:rsid w:val="00872D69"/>
    <w:rsid w:val="00875377"/>
    <w:rsid w:val="00875F9E"/>
    <w:rsid w:val="00882E74"/>
    <w:rsid w:val="00883998"/>
    <w:rsid w:val="00884187"/>
    <w:rsid w:val="008853EC"/>
    <w:rsid w:val="008877B6"/>
    <w:rsid w:val="008921FE"/>
    <w:rsid w:val="00893FA6"/>
    <w:rsid w:val="008944A5"/>
    <w:rsid w:val="00894A1B"/>
    <w:rsid w:val="00897EF1"/>
    <w:rsid w:val="008A35AF"/>
    <w:rsid w:val="008A3773"/>
    <w:rsid w:val="008B2005"/>
    <w:rsid w:val="008C4EB6"/>
    <w:rsid w:val="008D5151"/>
    <w:rsid w:val="008E11C6"/>
    <w:rsid w:val="008E6CA8"/>
    <w:rsid w:val="0090112F"/>
    <w:rsid w:val="00902507"/>
    <w:rsid w:val="00904295"/>
    <w:rsid w:val="009048BF"/>
    <w:rsid w:val="00906696"/>
    <w:rsid w:val="00907E14"/>
    <w:rsid w:val="00910B11"/>
    <w:rsid w:val="00911A1F"/>
    <w:rsid w:val="009123EF"/>
    <w:rsid w:val="00912812"/>
    <w:rsid w:val="00913D1A"/>
    <w:rsid w:val="00916A7E"/>
    <w:rsid w:val="00922567"/>
    <w:rsid w:val="00922836"/>
    <w:rsid w:val="00933FD0"/>
    <w:rsid w:val="00936655"/>
    <w:rsid w:val="00940AEA"/>
    <w:rsid w:val="009416CE"/>
    <w:rsid w:val="009564CC"/>
    <w:rsid w:val="00970C66"/>
    <w:rsid w:val="00972BCB"/>
    <w:rsid w:val="009861D9"/>
    <w:rsid w:val="009933AF"/>
    <w:rsid w:val="009A04FB"/>
    <w:rsid w:val="009A0A4D"/>
    <w:rsid w:val="009A4485"/>
    <w:rsid w:val="009A775D"/>
    <w:rsid w:val="009B2774"/>
    <w:rsid w:val="009D0866"/>
    <w:rsid w:val="009E5298"/>
    <w:rsid w:val="009F465F"/>
    <w:rsid w:val="009F5802"/>
    <w:rsid w:val="009F66C2"/>
    <w:rsid w:val="009F6839"/>
    <w:rsid w:val="009F7EAD"/>
    <w:rsid w:val="00A0032E"/>
    <w:rsid w:val="00A04DE4"/>
    <w:rsid w:val="00A11E80"/>
    <w:rsid w:val="00A138E3"/>
    <w:rsid w:val="00A13C93"/>
    <w:rsid w:val="00A14166"/>
    <w:rsid w:val="00A20C10"/>
    <w:rsid w:val="00A229DD"/>
    <w:rsid w:val="00A23E44"/>
    <w:rsid w:val="00A25E6B"/>
    <w:rsid w:val="00A36E8F"/>
    <w:rsid w:val="00A402A4"/>
    <w:rsid w:val="00A446B5"/>
    <w:rsid w:val="00A605BA"/>
    <w:rsid w:val="00A61438"/>
    <w:rsid w:val="00A72C5F"/>
    <w:rsid w:val="00A85652"/>
    <w:rsid w:val="00AA4F77"/>
    <w:rsid w:val="00AA7712"/>
    <w:rsid w:val="00AB358C"/>
    <w:rsid w:val="00AB7D5D"/>
    <w:rsid w:val="00AC49CA"/>
    <w:rsid w:val="00AC7C0C"/>
    <w:rsid w:val="00AD317D"/>
    <w:rsid w:val="00AD495E"/>
    <w:rsid w:val="00AD580A"/>
    <w:rsid w:val="00AE1E54"/>
    <w:rsid w:val="00AE5125"/>
    <w:rsid w:val="00AE55E2"/>
    <w:rsid w:val="00AE5F73"/>
    <w:rsid w:val="00B00104"/>
    <w:rsid w:val="00B042D5"/>
    <w:rsid w:val="00B05B18"/>
    <w:rsid w:val="00B1667B"/>
    <w:rsid w:val="00B27015"/>
    <w:rsid w:val="00B32820"/>
    <w:rsid w:val="00B619FE"/>
    <w:rsid w:val="00B63438"/>
    <w:rsid w:val="00B64454"/>
    <w:rsid w:val="00B766EA"/>
    <w:rsid w:val="00B80992"/>
    <w:rsid w:val="00B82D9B"/>
    <w:rsid w:val="00B90DF2"/>
    <w:rsid w:val="00B93B12"/>
    <w:rsid w:val="00B962DA"/>
    <w:rsid w:val="00BA2452"/>
    <w:rsid w:val="00BA2F93"/>
    <w:rsid w:val="00BA7788"/>
    <w:rsid w:val="00BC10EE"/>
    <w:rsid w:val="00BC188D"/>
    <w:rsid w:val="00BC38AD"/>
    <w:rsid w:val="00BC47A3"/>
    <w:rsid w:val="00BE25D5"/>
    <w:rsid w:val="00BE4931"/>
    <w:rsid w:val="00BF7049"/>
    <w:rsid w:val="00C05CF5"/>
    <w:rsid w:val="00C0797B"/>
    <w:rsid w:val="00C3780C"/>
    <w:rsid w:val="00C404DA"/>
    <w:rsid w:val="00C433D7"/>
    <w:rsid w:val="00C440DB"/>
    <w:rsid w:val="00C570C5"/>
    <w:rsid w:val="00C62C4E"/>
    <w:rsid w:val="00C703D5"/>
    <w:rsid w:val="00C77563"/>
    <w:rsid w:val="00C84076"/>
    <w:rsid w:val="00C842C8"/>
    <w:rsid w:val="00C91DFA"/>
    <w:rsid w:val="00C974C0"/>
    <w:rsid w:val="00CA0AB9"/>
    <w:rsid w:val="00CA315E"/>
    <w:rsid w:val="00CA74DD"/>
    <w:rsid w:val="00CB3D97"/>
    <w:rsid w:val="00CB4A84"/>
    <w:rsid w:val="00CB6888"/>
    <w:rsid w:val="00CB76A0"/>
    <w:rsid w:val="00CC0650"/>
    <w:rsid w:val="00CD344A"/>
    <w:rsid w:val="00CD7904"/>
    <w:rsid w:val="00CE210A"/>
    <w:rsid w:val="00CE4506"/>
    <w:rsid w:val="00CF3191"/>
    <w:rsid w:val="00D000BF"/>
    <w:rsid w:val="00D023BF"/>
    <w:rsid w:val="00D029C0"/>
    <w:rsid w:val="00D23E80"/>
    <w:rsid w:val="00D30840"/>
    <w:rsid w:val="00D310F4"/>
    <w:rsid w:val="00D355D9"/>
    <w:rsid w:val="00D46ECA"/>
    <w:rsid w:val="00D523EF"/>
    <w:rsid w:val="00D539C1"/>
    <w:rsid w:val="00D61433"/>
    <w:rsid w:val="00D663E8"/>
    <w:rsid w:val="00D73EB4"/>
    <w:rsid w:val="00D745A5"/>
    <w:rsid w:val="00D77480"/>
    <w:rsid w:val="00D81055"/>
    <w:rsid w:val="00D86FC3"/>
    <w:rsid w:val="00D903E0"/>
    <w:rsid w:val="00DB1951"/>
    <w:rsid w:val="00DB3472"/>
    <w:rsid w:val="00DB42B1"/>
    <w:rsid w:val="00DC6082"/>
    <w:rsid w:val="00DD25AC"/>
    <w:rsid w:val="00DD3FB9"/>
    <w:rsid w:val="00DF091B"/>
    <w:rsid w:val="00DF39D8"/>
    <w:rsid w:val="00DF6C21"/>
    <w:rsid w:val="00E10A42"/>
    <w:rsid w:val="00E114D8"/>
    <w:rsid w:val="00E17678"/>
    <w:rsid w:val="00E333AB"/>
    <w:rsid w:val="00E36A0D"/>
    <w:rsid w:val="00E4508E"/>
    <w:rsid w:val="00E50703"/>
    <w:rsid w:val="00E51547"/>
    <w:rsid w:val="00E52969"/>
    <w:rsid w:val="00E6156B"/>
    <w:rsid w:val="00E64018"/>
    <w:rsid w:val="00E6404A"/>
    <w:rsid w:val="00E64976"/>
    <w:rsid w:val="00E8608A"/>
    <w:rsid w:val="00E979AB"/>
    <w:rsid w:val="00EB0F56"/>
    <w:rsid w:val="00EB2C14"/>
    <w:rsid w:val="00EB366F"/>
    <w:rsid w:val="00EB4314"/>
    <w:rsid w:val="00EB51F7"/>
    <w:rsid w:val="00EB5C14"/>
    <w:rsid w:val="00ED1767"/>
    <w:rsid w:val="00EE00D9"/>
    <w:rsid w:val="00EE1239"/>
    <w:rsid w:val="00EE668E"/>
    <w:rsid w:val="00EF2448"/>
    <w:rsid w:val="00EF3463"/>
    <w:rsid w:val="00EF5496"/>
    <w:rsid w:val="00F11BF0"/>
    <w:rsid w:val="00F16B3E"/>
    <w:rsid w:val="00F17B0C"/>
    <w:rsid w:val="00F21014"/>
    <w:rsid w:val="00F27074"/>
    <w:rsid w:val="00F32457"/>
    <w:rsid w:val="00F506CD"/>
    <w:rsid w:val="00F5253B"/>
    <w:rsid w:val="00F56659"/>
    <w:rsid w:val="00F63531"/>
    <w:rsid w:val="00F6659C"/>
    <w:rsid w:val="00F67816"/>
    <w:rsid w:val="00F709A0"/>
    <w:rsid w:val="00F816D5"/>
    <w:rsid w:val="00F81A21"/>
    <w:rsid w:val="00F87A71"/>
    <w:rsid w:val="00F92687"/>
    <w:rsid w:val="00F955A3"/>
    <w:rsid w:val="00FA0A14"/>
    <w:rsid w:val="00FA0B3F"/>
    <w:rsid w:val="00FA2E34"/>
    <w:rsid w:val="00FA4060"/>
    <w:rsid w:val="00FE138C"/>
    <w:rsid w:val="00FE3BB2"/>
    <w:rsid w:val="00FE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30A40"/>
  <w15:docId w15:val="{0D49906B-4378-4C9B-BDB4-A08BB1AE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E98"/>
    <w:rPr>
      <w:sz w:val="24"/>
      <w:szCs w:val="24"/>
    </w:rPr>
  </w:style>
  <w:style w:type="paragraph" w:styleId="Heading3">
    <w:name w:val="heading 3"/>
    <w:basedOn w:val="Normal"/>
    <w:next w:val="Normal"/>
    <w:link w:val="Heading3Char"/>
    <w:qFormat/>
    <w:rsid w:val="00BA2452"/>
    <w:pPr>
      <w:keepNext/>
      <w:ind w:firstLine="720"/>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C49CA"/>
    <w:rPr>
      <w:rFonts w:ascii="Tahoma" w:hAnsi="Tahoma"/>
      <w:sz w:val="22"/>
      <w:szCs w:val="20"/>
    </w:rPr>
  </w:style>
  <w:style w:type="paragraph" w:styleId="Header">
    <w:name w:val="header"/>
    <w:basedOn w:val="Normal"/>
    <w:link w:val="HeaderChar"/>
    <w:rsid w:val="006B6C70"/>
    <w:pPr>
      <w:tabs>
        <w:tab w:val="center" w:pos="4680"/>
        <w:tab w:val="right" w:pos="9360"/>
      </w:tabs>
    </w:pPr>
  </w:style>
  <w:style w:type="character" w:customStyle="1" w:styleId="HeaderChar">
    <w:name w:val="Header Char"/>
    <w:basedOn w:val="DefaultParagraphFont"/>
    <w:link w:val="Header"/>
    <w:rsid w:val="006B6C70"/>
    <w:rPr>
      <w:sz w:val="24"/>
      <w:szCs w:val="24"/>
    </w:rPr>
  </w:style>
  <w:style w:type="paragraph" w:styleId="Footer">
    <w:name w:val="footer"/>
    <w:basedOn w:val="Normal"/>
    <w:link w:val="FooterChar"/>
    <w:rsid w:val="006B6C70"/>
    <w:pPr>
      <w:tabs>
        <w:tab w:val="center" w:pos="4680"/>
        <w:tab w:val="right" w:pos="9360"/>
      </w:tabs>
    </w:pPr>
  </w:style>
  <w:style w:type="character" w:customStyle="1" w:styleId="FooterChar">
    <w:name w:val="Footer Char"/>
    <w:basedOn w:val="DefaultParagraphFont"/>
    <w:link w:val="Footer"/>
    <w:rsid w:val="006B6C70"/>
    <w:rPr>
      <w:sz w:val="24"/>
      <w:szCs w:val="24"/>
    </w:rPr>
  </w:style>
  <w:style w:type="paragraph" w:styleId="BalloonText">
    <w:name w:val="Balloon Text"/>
    <w:basedOn w:val="Normal"/>
    <w:link w:val="BalloonTextChar"/>
    <w:rsid w:val="00B962DA"/>
    <w:rPr>
      <w:rFonts w:ascii="Tahoma" w:hAnsi="Tahoma" w:cs="Tahoma"/>
      <w:sz w:val="16"/>
      <w:szCs w:val="16"/>
    </w:rPr>
  </w:style>
  <w:style w:type="character" w:customStyle="1" w:styleId="BalloonTextChar">
    <w:name w:val="Balloon Text Char"/>
    <w:basedOn w:val="DefaultParagraphFont"/>
    <w:link w:val="BalloonText"/>
    <w:rsid w:val="00B962DA"/>
    <w:rPr>
      <w:rFonts w:ascii="Tahoma" w:hAnsi="Tahoma" w:cs="Tahoma"/>
      <w:sz w:val="16"/>
      <w:szCs w:val="16"/>
    </w:rPr>
  </w:style>
  <w:style w:type="paragraph" w:styleId="NoSpacing">
    <w:name w:val="No Spacing"/>
    <w:uiPriority w:val="99"/>
    <w:qFormat/>
    <w:rsid w:val="00A36E8F"/>
    <w:rPr>
      <w:rFonts w:ascii="Calibri" w:eastAsia="Calibri" w:hAnsi="Calibri"/>
      <w:sz w:val="22"/>
      <w:szCs w:val="22"/>
    </w:rPr>
  </w:style>
  <w:style w:type="character" w:styleId="Hyperlink">
    <w:name w:val="Hyperlink"/>
    <w:basedOn w:val="DefaultParagraphFont"/>
    <w:rsid w:val="007801F5"/>
    <w:rPr>
      <w:color w:val="0000FF"/>
      <w:u w:val="single"/>
    </w:rPr>
  </w:style>
  <w:style w:type="character" w:customStyle="1" w:styleId="Heading3Char">
    <w:name w:val="Heading 3 Char"/>
    <w:basedOn w:val="DefaultParagraphFont"/>
    <w:link w:val="Heading3"/>
    <w:rsid w:val="00C05CF5"/>
    <w:rPr>
      <w:b/>
      <w:bCs/>
      <w:sz w:val="24"/>
    </w:rPr>
  </w:style>
  <w:style w:type="character" w:customStyle="1" w:styleId="BodyTextChar">
    <w:name w:val="Body Text Char"/>
    <w:basedOn w:val="DefaultParagraphFont"/>
    <w:link w:val="BodyText"/>
    <w:rsid w:val="00C05CF5"/>
    <w:rPr>
      <w:rFonts w:ascii="Tahoma" w:hAnsi="Tahoma"/>
      <w:sz w:val="22"/>
    </w:rPr>
  </w:style>
  <w:style w:type="paragraph" w:customStyle="1" w:styleId="InsideAddress">
    <w:name w:val="Inside Address"/>
    <w:basedOn w:val="Normal"/>
    <w:rsid w:val="00C05CF5"/>
  </w:style>
  <w:style w:type="paragraph" w:styleId="ListParagraph">
    <w:name w:val="List Paragraph"/>
    <w:basedOn w:val="Normal"/>
    <w:uiPriority w:val="34"/>
    <w:qFormat/>
    <w:rsid w:val="00846BBA"/>
    <w:pPr>
      <w:spacing w:after="200" w:line="276" w:lineRule="auto"/>
      <w:ind w:left="720"/>
      <w:contextualSpacing/>
    </w:pPr>
    <w:rPr>
      <w:rFonts w:asciiTheme="minorHAnsi" w:eastAsiaTheme="minorHAnsi" w:hAnsiTheme="minorHAnsi" w:cstheme="minorBidi"/>
      <w:sz w:val="22"/>
      <w:szCs w:val="22"/>
    </w:rPr>
  </w:style>
  <w:style w:type="character" w:customStyle="1" w:styleId="googqs-tidbit1">
    <w:name w:val="goog_qs-tidbit1"/>
    <w:basedOn w:val="DefaultParagraphFont"/>
    <w:rsid w:val="00846BBA"/>
    <w:rPr>
      <w:vanish w:val="0"/>
      <w:webHidden w:val="0"/>
      <w:specVanish w:val="0"/>
    </w:rPr>
  </w:style>
  <w:style w:type="paragraph" w:customStyle="1" w:styleId="Default">
    <w:name w:val="Default"/>
    <w:rsid w:val="00846BBA"/>
    <w:pPr>
      <w:autoSpaceDE w:val="0"/>
      <w:autoSpaceDN w:val="0"/>
      <w:adjustRightInd w:val="0"/>
    </w:pPr>
    <w:rPr>
      <w:color w:val="000000"/>
      <w:sz w:val="24"/>
      <w:szCs w:val="24"/>
    </w:rPr>
  </w:style>
  <w:style w:type="paragraph" w:styleId="NormalWeb">
    <w:name w:val="Normal (Web)"/>
    <w:basedOn w:val="Normal"/>
    <w:uiPriority w:val="99"/>
    <w:unhideWhenUsed/>
    <w:rsid w:val="002644C0"/>
    <w:pPr>
      <w:spacing w:before="100" w:beforeAutospacing="1" w:after="100" w:afterAutospacing="1"/>
    </w:pPr>
    <w:rPr>
      <w:rFonts w:eastAsiaTheme="minorHAnsi"/>
    </w:rPr>
  </w:style>
  <w:style w:type="character" w:styleId="Strong">
    <w:name w:val="Strong"/>
    <w:basedOn w:val="DefaultParagraphFont"/>
    <w:uiPriority w:val="22"/>
    <w:qFormat/>
    <w:rsid w:val="002644C0"/>
    <w:rPr>
      <w:b/>
      <w:bCs/>
    </w:rPr>
  </w:style>
  <w:style w:type="table" w:styleId="TableGrid">
    <w:name w:val="Table Grid"/>
    <w:basedOn w:val="TableNormal"/>
    <w:uiPriority w:val="59"/>
    <w:rsid w:val="00F27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rsid w:val="00D310F4"/>
    <w:pPr>
      <w:spacing w:line="241" w:lineRule="atLeast"/>
    </w:pPr>
    <w:rPr>
      <w:rFonts w:ascii="Myriad Pro Light" w:hAnsi="Myriad Pro Light"/>
      <w:color w:val="auto"/>
    </w:rPr>
  </w:style>
  <w:style w:type="character" w:customStyle="1" w:styleId="A7">
    <w:name w:val="A7"/>
    <w:uiPriority w:val="99"/>
    <w:rsid w:val="00D310F4"/>
    <w:rPr>
      <w:rFonts w:cs="Myriad Pro Light"/>
      <w:b/>
      <w:bCs/>
      <w:color w:val="57585A"/>
      <w:sz w:val="18"/>
      <w:szCs w:val="18"/>
    </w:rPr>
  </w:style>
  <w:style w:type="character" w:customStyle="1" w:styleId="A8">
    <w:name w:val="A8"/>
    <w:uiPriority w:val="99"/>
    <w:rsid w:val="00D310F4"/>
    <w:rPr>
      <w:rFonts w:cs="Myriad Pro Light"/>
      <w:color w:val="57585A"/>
      <w:sz w:val="16"/>
      <w:szCs w:val="16"/>
    </w:rPr>
  </w:style>
  <w:style w:type="character" w:customStyle="1" w:styleId="A13">
    <w:name w:val="A13"/>
    <w:uiPriority w:val="99"/>
    <w:rsid w:val="004C3676"/>
    <w:rPr>
      <w:rFonts w:cs="HelveticaNeueLT Std"/>
      <w:color w:val="221E1F"/>
      <w:sz w:val="18"/>
      <w:szCs w:val="18"/>
    </w:rPr>
  </w:style>
  <w:style w:type="paragraph" w:customStyle="1" w:styleId="Pa9">
    <w:name w:val="Pa9"/>
    <w:basedOn w:val="Default"/>
    <w:next w:val="Default"/>
    <w:uiPriority w:val="99"/>
    <w:rsid w:val="00644D30"/>
    <w:pPr>
      <w:spacing w:line="241" w:lineRule="atLeast"/>
    </w:pPr>
    <w:rPr>
      <w:rFonts w:ascii="HelveticaNeueLT Std" w:hAnsi="HelveticaNeueLT Std"/>
      <w:color w:val="auto"/>
    </w:rPr>
  </w:style>
  <w:style w:type="character" w:customStyle="1" w:styleId="A12">
    <w:name w:val="A12"/>
    <w:uiPriority w:val="99"/>
    <w:rsid w:val="00644D30"/>
    <w:rPr>
      <w:rFonts w:cs="HelveticaNeueLT St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7762">
      <w:bodyDiv w:val="1"/>
      <w:marLeft w:val="0"/>
      <w:marRight w:val="0"/>
      <w:marTop w:val="0"/>
      <w:marBottom w:val="0"/>
      <w:divBdr>
        <w:top w:val="none" w:sz="0" w:space="0" w:color="auto"/>
        <w:left w:val="none" w:sz="0" w:space="0" w:color="auto"/>
        <w:bottom w:val="none" w:sz="0" w:space="0" w:color="auto"/>
        <w:right w:val="none" w:sz="0" w:space="0" w:color="auto"/>
      </w:divBdr>
    </w:div>
    <w:div w:id="172033165">
      <w:bodyDiv w:val="1"/>
      <w:marLeft w:val="0"/>
      <w:marRight w:val="0"/>
      <w:marTop w:val="0"/>
      <w:marBottom w:val="0"/>
      <w:divBdr>
        <w:top w:val="none" w:sz="0" w:space="0" w:color="auto"/>
        <w:left w:val="none" w:sz="0" w:space="0" w:color="auto"/>
        <w:bottom w:val="none" w:sz="0" w:space="0" w:color="auto"/>
        <w:right w:val="none" w:sz="0" w:space="0" w:color="auto"/>
      </w:divBdr>
    </w:div>
    <w:div w:id="196280484">
      <w:bodyDiv w:val="1"/>
      <w:marLeft w:val="0"/>
      <w:marRight w:val="0"/>
      <w:marTop w:val="0"/>
      <w:marBottom w:val="0"/>
      <w:divBdr>
        <w:top w:val="none" w:sz="0" w:space="0" w:color="auto"/>
        <w:left w:val="none" w:sz="0" w:space="0" w:color="auto"/>
        <w:bottom w:val="none" w:sz="0" w:space="0" w:color="auto"/>
        <w:right w:val="none" w:sz="0" w:space="0" w:color="auto"/>
      </w:divBdr>
    </w:div>
    <w:div w:id="478419651">
      <w:bodyDiv w:val="1"/>
      <w:marLeft w:val="0"/>
      <w:marRight w:val="0"/>
      <w:marTop w:val="0"/>
      <w:marBottom w:val="0"/>
      <w:divBdr>
        <w:top w:val="none" w:sz="0" w:space="0" w:color="auto"/>
        <w:left w:val="none" w:sz="0" w:space="0" w:color="auto"/>
        <w:bottom w:val="none" w:sz="0" w:space="0" w:color="auto"/>
        <w:right w:val="none" w:sz="0" w:space="0" w:color="auto"/>
      </w:divBdr>
    </w:div>
    <w:div w:id="675306321">
      <w:bodyDiv w:val="1"/>
      <w:marLeft w:val="0"/>
      <w:marRight w:val="0"/>
      <w:marTop w:val="0"/>
      <w:marBottom w:val="0"/>
      <w:divBdr>
        <w:top w:val="none" w:sz="0" w:space="0" w:color="auto"/>
        <w:left w:val="none" w:sz="0" w:space="0" w:color="auto"/>
        <w:bottom w:val="none" w:sz="0" w:space="0" w:color="auto"/>
        <w:right w:val="none" w:sz="0" w:space="0" w:color="auto"/>
      </w:divBdr>
    </w:div>
    <w:div w:id="918638751">
      <w:bodyDiv w:val="1"/>
      <w:marLeft w:val="0"/>
      <w:marRight w:val="0"/>
      <w:marTop w:val="0"/>
      <w:marBottom w:val="0"/>
      <w:divBdr>
        <w:top w:val="none" w:sz="0" w:space="0" w:color="auto"/>
        <w:left w:val="none" w:sz="0" w:space="0" w:color="auto"/>
        <w:bottom w:val="none" w:sz="0" w:space="0" w:color="auto"/>
        <w:right w:val="none" w:sz="0" w:space="0" w:color="auto"/>
      </w:divBdr>
    </w:div>
    <w:div w:id="1034425224">
      <w:bodyDiv w:val="1"/>
      <w:marLeft w:val="0"/>
      <w:marRight w:val="0"/>
      <w:marTop w:val="0"/>
      <w:marBottom w:val="0"/>
      <w:divBdr>
        <w:top w:val="none" w:sz="0" w:space="0" w:color="auto"/>
        <w:left w:val="none" w:sz="0" w:space="0" w:color="auto"/>
        <w:bottom w:val="none" w:sz="0" w:space="0" w:color="auto"/>
        <w:right w:val="none" w:sz="0" w:space="0" w:color="auto"/>
      </w:divBdr>
    </w:div>
    <w:div w:id="1065447693">
      <w:bodyDiv w:val="1"/>
      <w:marLeft w:val="0"/>
      <w:marRight w:val="0"/>
      <w:marTop w:val="0"/>
      <w:marBottom w:val="0"/>
      <w:divBdr>
        <w:top w:val="none" w:sz="0" w:space="0" w:color="auto"/>
        <w:left w:val="none" w:sz="0" w:space="0" w:color="auto"/>
        <w:bottom w:val="none" w:sz="0" w:space="0" w:color="auto"/>
        <w:right w:val="none" w:sz="0" w:space="0" w:color="auto"/>
      </w:divBdr>
    </w:div>
    <w:div w:id="1324239542">
      <w:bodyDiv w:val="1"/>
      <w:marLeft w:val="0"/>
      <w:marRight w:val="0"/>
      <w:marTop w:val="0"/>
      <w:marBottom w:val="0"/>
      <w:divBdr>
        <w:top w:val="none" w:sz="0" w:space="0" w:color="auto"/>
        <w:left w:val="none" w:sz="0" w:space="0" w:color="auto"/>
        <w:bottom w:val="none" w:sz="0" w:space="0" w:color="auto"/>
        <w:right w:val="none" w:sz="0" w:space="0" w:color="auto"/>
      </w:divBdr>
    </w:div>
    <w:div w:id="1339427245">
      <w:bodyDiv w:val="1"/>
      <w:marLeft w:val="0"/>
      <w:marRight w:val="0"/>
      <w:marTop w:val="0"/>
      <w:marBottom w:val="0"/>
      <w:divBdr>
        <w:top w:val="none" w:sz="0" w:space="0" w:color="auto"/>
        <w:left w:val="none" w:sz="0" w:space="0" w:color="auto"/>
        <w:bottom w:val="none" w:sz="0" w:space="0" w:color="auto"/>
        <w:right w:val="none" w:sz="0" w:space="0" w:color="auto"/>
      </w:divBdr>
      <w:divsChild>
        <w:div w:id="185212655">
          <w:marLeft w:val="0"/>
          <w:marRight w:val="0"/>
          <w:marTop w:val="0"/>
          <w:marBottom w:val="0"/>
          <w:divBdr>
            <w:top w:val="none" w:sz="0" w:space="0" w:color="auto"/>
            <w:left w:val="none" w:sz="0" w:space="0" w:color="auto"/>
            <w:bottom w:val="none" w:sz="0" w:space="0" w:color="auto"/>
            <w:right w:val="none" w:sz="0" w:space="0" w:color="auto"/>
          </w:divBdr>
        </w:div>
      </w:divsChild>
    </w:div>
    <w:div w:id="1682588125">
      <w:bodyDiv w:val="1"/>
      <w:marLeft w:val="0"/>
      <w:marRight w:val="0"/>
      <w:marTop w:val="0"/>
      <w:marBottom w:val="0"/>
      <w:divBdr>
        <w:top w:val="none" w:sz="0" w:space="0" w:color="auto"/>
        <w:left w:val="none" w:sz="0" w:space="0" w:color="auto"/>
        <w:bottom w:val="none" w:sz="0" w:space="0" w:color="auto"/>
        <w:right w:val="none" w:sz="0" w:space="0" w:color="auto"/>
      </w:divBdr>
    </w:div>
    <w:div w:id="1861776640">
      <w:bodyDiv w:val="1"/>
      <w:marLeft w:val="0"/>
      <w:marRight w:val="0"/>
      <w:marTop w:val="0"/>
      <w:marBottom w:val="0"/>
      <w:divBdr>
        <w:top w:val="none" w:sz="0" w:space="0" w:color="auto"/>
        <w:left w:val="none" w:sz="0" w:space="0" w:color="auto"/>
        <w:bottom w:val="none" w:sz="0" w:space="0" w:color="auto"/>
        <w:right w:val="none" w:sz="0" w:space="0" w:color="auto"/>
      </w:divBdr>
    </w:div>
    <w:div w:id="19150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584EB-7D82-4577-A9DC-48FCCCD6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nrsc</Company>
  <LinksUpToDate>false</LinksUpToDate>
  <CharactersWithSpaces>7354</CharactersWithSpaces>
  <SharedDoc>false</SharedDoc>
  <HLinks>
    <vt:vector size="12" baseType="variant">
      <vt:variant>
        <vt:i4>3342356</vt:i4>
      </vt:variant>
      <vt:variant>
        <vt:i4>3</vt:i4>
      </vt:variant>
      <vt:variant>
        <vt:i4>0</vt:i4>
      </vt:variant>
      <vt:variant>
        <vt:i4>5</vt:i4>
      </vt:variant>
      <vt:variant>
        <vt:lpwstr>mailto:Jennifer@nrsc.org</vt:lpwstr>
      </vt:variant>
      <vt:variant>
        <vt:lpwstr/>
      </vt:variant>
      <vt:variant>
        <vt:i4>4325496</vt:i4>
      </vt:variant>
      <vt:variant>
        <vt:i4>0</vt:i4>
      </vt:variant>
      <vt:variant>
        <vt:i4>0</vt:i4>
      </vt:variant>
      <vt:variant>
        <vt:i4>5</vt:i4>
      </vt:variant>
      <vt:variant>
        <vt:lpwstr>mailto:kwalsh@nrsc.org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louisawilliams</dc:creator>
  <cp:lastModifiedBy>Mark Vinciguerra</cp:lastModifiedBy>
  <cp:revision>7</cp:revision>
  <cp:lastPrinted>2019-11-25T16:10:00Z</cp:lastPrinted>
  <dcterms:created xsi:type="dcterms:W3CDTF">2022-09-12T21:19:00Z</dcterms:created>
  <dcterms:modified xsi:type="dcterms:W3CDTF">2022-09-13T15:29:00Z</dcterms:modified>
</cp:coreProperties>
</file>